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58E1" w14:textId="77777777" w:rsidR="0050616E" w:rsidRPr="0050616E" w:rsidRDefault="00471713" w:rsidP="00AB5854">
      <w:pPr>
        <w:pStyle w:val="BesediloUMAR"/>
      </w:pPr>
      <w:bookmarkStart w:id="0" w:name="_Toc165883861"/>
      <w:bookmarkStart w:id="1" w:name="_Toc165883892"/>
      <w:bookmarkStart w:id="2" w:name="_Toc165883966"/>
      <w:bookmarkStart w:id="3" w:name="_Hlk170295931"/>
      <w:r>
        <w:rPr>
          <w:noProof/>
          <w:lang w:eastAsia="sl-SI"/>
        </w:rPr>
        <w:drawing>
          <wp:anchor distT="0" distB="0" distL="114300" distR="114300" simplePos="0" relativeHeight="251661312" behindDoc="0" locked="0" layoutInCell="1" allowOverlap="1" wp14:anchorId="75922828" wp14:editId="28E9B850">
            <wp:simplePos x="0" y="0"/>
            <wp:positionH relativeFrom="column">
              <wp:posOffset>-900374</wp:posOffset>
            </wp:positionH>
            <wp:positionV relativeFrom="paragraph">
              <wp:posOffset>-1081405</wp:posOffset>
            </wp:positionV>
            <wp:extent cx="4737100" cy="10815955"/>
            <wp:effectExtent l="0" t="0" r="6350" b="4445"/>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7100" cy="10815955"/>
                    </a:xfrm>
                    <a:prstGeom prst="rect">
                      <a:avLst/>
                    </a:prstGeom>
                  </pic:spPr>
                </pic:pic>
              </a:graphicData>
            </a:graphic>
            <wp14:sizeRelH relativeFrom="margin">
              <wp14:pctWidth>0</wp14:pctWidth>
            </wp14:sizeRelH>
            <wp14:sizeRelV relativeFrom="margin">
              <wp14:pctHeight>0</wp14:pctHeight>
            </wp14:sizeRelV>
          </wp:anchor>
        </w:drawing>
      </w:r>
      <w:r w:rsidR="00341E37">
        <w:rPr>
          <w:noProof/>
          <w:lang w:eastAsia="sl-SI"/>
        </w:rPr>
        <w:drawing>
          <wp:anchor distT="0" distB="0" distL="114300" distR="114300" simplePos="0" relativeHeight="251663360" behindDoc="0" locked="0" layoutInCell="1" allowOverlap="1" wp14:anchorId="516BB349" wp14:editId="2BC9D87B">
            <wp:simplePos x="0" y="0"/>
            <wp:positionH relativeFrom="column">
              <wp:posOffset>4939343</wp:posOffset>
            </wp:positionH>
            <wp:positionV relativeFrom="paragraph">
              <wp:posOffset>-626110</wp:posOffset>
            </wp:positionV>
            <wp:extent cx="1294227" cy="365859"/>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MA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227" cy="365859"/>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00AB5854">
        <w:tab/>
      </w:r>
    </w:p>
    <w:p w14:paraId="42D97532" w14:textId="77777777" w:rsidR="0050616E" w:rsidRPr="0050616E" w:rsidRDefault="00CC02AB" w:rsidP="0050616E">
      <w:pPr>
        <w:tabs>
          <w:tab w:val="left" w:pos="7227"/>
        </w:tabs>
        <w:sectPr w:rsidR="0050616E" w:rsidRPr="0050616E" w:rsidSect="007C3A38">
          <w:pgSz w:w="11906" w:h="16838"/>
          <w:pgMar w:top="1701" w:right="1418" w:bottom="1418" w:left="1418" w:header="709" w:footer="709" w:gutter="0"/>
          <w:pgNumType w:fmt="lowerRoman" w:start="1"/>
          <w:cols w:space="708"/>
        </w:sectPr>
      </w:pPr>
      <w:r>
        <w:rPr>
          <w:noProof/>
          <w:lang w:eastAsia="sl-SI"/>
        </w:rPr>
        <mc:AlternateContent>
          <mc:Choice Requires="wps">
            <w:drawing>
              <wp:anchor distT="0" distB="0" distL="114300" distR="114300" simplePos="0" relativeHeight="251659262" behindDoc="0" locked="0" layoutInCell="1" allowOverlap="1" wp14:anchorId="7982B2CF" wp14:editId="26129E05">
                <wp:simplePos x="0" y="0"/>
                <wp:positionH relativeFrom="column">
                  <wp:posOffset>2665730</wp:posOffset>
                </wp:positionH>
                <wp:positionV relativeFrom="page">
                  <wp:posOffset>2247900</wp:posOffset>
                </wp:positionV>
                <wp:extent cx="3680460" cy="8066405"/>
                <wp:effectExtent l="0" t="0" r="0" b="10795"/>
                <wp:wrapNone/>
                <wp:docPr id="2" name="Text Box 2"/>
                <wp:cNvGraphicFramePr/>
                <a:graphic xmlns:a="http://schemas.openxmlformats.org/drawingml/2006/main">
                  <a:graphicData uri="http://schemas.microsoft.com/office/word/2010/wordprocessingShape">
                    <wps:wsp>
                      <wps:cNvSpPr txBox="1"/>
                      <wps:spPr>
                        <a:xfrm>
                          <a:off x="0" y="0"/>
                          <a:ext cx="3680460" cy="8066405"/>
                        </a:xfrm>
                        <a:prstGeom prst="rect">
                          <a:avLst/>
                        </a:prstGeom>
                        <a:noFill/>
                        <a:ln w="6350">
                          <a:noFill/>
                        </a:ln>
                        <a:effectLst/>
                      </wps:spPr>
                      <wps:txbx>
                        <w:txbxContent>
                          <w:p w14:paraId="4B86FDF2" w14:textId="77777777" w:rsidR="00BA6D9F" w:rsidRPr="00673EDA" w:rsidRDefault="00BA6D9F" w:rsidP="004976E4">
                            <w:pPr>
                              <w:pStyle w:val="NaslovnicanaslovUMAR"/>
                              <w:spacing w:line="240" w:lineRule="auto"/>
                              <w:rPr>
                                <w:b/>
                                <w:bCs/>
                                <w:sz w:val="26"/>
                                <w:szCs w:val="26"/>
                              </w:rPr>
                            </w:pPr>
                            <w:r w:rsidRPr="00673EDA">
                              <w:rPr>
                                <w:b/>
                                <w:bCs/>
                                <w:sz w:val="26"/>
                                <w:szCs w:val="26"/>
                              </w:rPr>
                              <w:t>Kratke analize</w:t>
                            </w:r>
                          </w:p>
                          <w:p w14:paraId="14C8FD17" w14:textId="0ABC9B0A" w:rsidR="00BA6D9F" w:rsidRPr="00673EDA" w:rsidRDefault="001059A6" w:rsidP="004976E4">
                            <w:pPr>
                              <w:pStyle w:val="NaslovnicanaslovUMAR"/>
                              <w:spacing w:line="240" w:lineRule="auto"/>
                              <w:rPr>
                                <w:sz w:val="26"/>
                                <w:szCs w:val="26"/>
                              </w:rPr>
                            </w:pPr>
                            <w:r>
                              <w:rPr>
                                <w:sz w:val="26"/>
                                <w:szCs w:val="26"/>
                              </w:rPr>
                              <w:t>A</w:t>
                            </w:r>
                            <w:r w:rsidR="00554CDE">
                              <w:rPr>
                                <w:sz w:val="26"/>
                                <w:szCs w:val="26"/>
                              </w:rPr>
                              <w:t>vgust</w:t>
                            </w:r>
                            <w:r>
                              <w:rPr>
                                <w:sz w:val="26"/>
                                <w:szCs w:val="26"/>
                              </w:rPr>
                              <w:t xml:space="preserve"> </w:t>
                            </w:r>
                            <w:r w:rsidR="000C40B0">
                              <w:rPr>
                                <w:sz w:val="26"/>
                                <w:szCs w:val="26"/>
                              </w:rPr>
                              <w:t>2024</w:t>
                            </w:r>
                          </w:p>
                          <w:p w14:paraId="7DA21C77" w14:textId="77777777" w:rsidR="00BA6D9F" w:rsidRPr="0050616E" w:rsidRDefault="00BA6D9F" w:rsidP="00F2019E">
                            <w:pPr>
                              <w:pStyle w:val="NaslovnicanaslovUMAR"/>
                            </w:pPr>
                          </w:p>
                          <w:p w14:paraId="4F2AFB83" w14:textId="2D5B7302" w:rsidR="00002CAF" w:rsidRPr="00673EDA" w:rsidRDefault="000C40B0" w:rsidP="00F2019E">
                            <w:pPr>
                              <w:pStyle w:val="NaslovnicanaslovUMAR"/>
                              <w:rPr>
                                <w:sz w:val="52"/>
                                <w:szCs w:val="52"/>
                              </w:rPr>
                            </w:pPr>
                            <w:r w:rsidRPr="000C40B0">
                              <w:rPr>
                                <w:sz w:val="52"/>
                                <w:szCs w:val="52"/>
                              </w:rPr>
                              <w:t>Mojca Koprivnikar Šušteršič</w:t>
                            </w:r>
                          </w:p>
                          <w:p w14:paraId="73BDF2A9" w14:textId="4D0D1645" w:rsidR="00002CAF" w:rsidRPr="00673EDA" w:rsidRDefault="00E94B27" w:rsidP="008640CB">
                            <w:pPr>
                              <w:pStyle w:val="NaslovnicanaslovUMAR"/>
                              <w:jc w:val="left"/>
                              <w:rPr>
                                <w:b/>
                                <w:bCs/>
                              </w:rPr>
                            </w:pPr>
                            <w:r>
                              <w:rPr>
                                <w:b/>
                                <w:bCs/>
                              </w:rPr>
                              <w:t>P</w:t>
                            </w:r>
                            <w:r w:rsidR="000C40B0">
                              <w:rPr>
                                <w:b/>
                                <w:bCs/>
                              </w:rPr>
                              <w:t>oslovanj</w:t>
                            </w:r>
                            <w:r>
                              <w:rPr>
                                <w:b/>
                                <w:bCs/>
                              </w:rPr>
                              <w:t>e</w:t>
                            </w:r>
                            <w:r w:rsidR="008640CB">
                              <w:rPr>
                                <w:b/>
                                <w:bCs/>
                              </w:rPr>
                              <w:t xml:space="preserve"> </w:t>
                            </w:r>
                            <w:r w:rsidR="000C40B0">
                              <w:rPr>
                                <w:b/>
                                <w:bCs/>
                              </w:rPr>
                              <w:t>trgovskih gospodarskih družb do leta 2023</w:t>
                            </w:r>
                          </w:p>
                        </w:txbxContent>
                      </wps:txbx>
                      <wps:bodyPr rot="0" spcFirstLastPara="0" vertOverflow="overflow" horzOverflow="overflow" vert="vert270" wrap="square" lIns="0" tIns="0" rIns="18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2B2CF" id="_x0000_t202" coordsize="21600,21600" o:spt="202" path="m,l,21600r21600,l21600,xe">
                <v:stroke joinstyle="miter"/>
                <v:path gradientshapeok="t" o:connecttype="rect"/>
              </v:shapetype>
              <v:shape id="Text Box 2" o:spid="_x0000_s1026" type="#_x0000_t202" style="position:absolute;margin-left:209.9pt;margin-top:177pt;width:289.8pt;height:635.1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" filled="f" stroked="f" strokeweight=".5pt">
                <v:textbox style="layout-flow:vertical;mso-layout-flow-alt:bottom-to-top" inset="0,0,.5mm,0">
                  <w:txbxContent>
                    <w:p w14:paraId="4B86FDF2" w14:textId="77777777" w:rsidR="00BA6D9F" w:rsidRPr="00673EDA" w:rsidRDefault="00BA6D9F" w:rsidP="004976E4">
                      <w:pPr>
                        <w:pStyle w:val="NaslovnicanaslovUMAR"/>
                        <w:spacing w:line="240" w:lineRule="auto"/>
                        <w:rPr>
                          <w:b/>
                          <w:bCs/>
                          <w:sz w:val="26"/>
                          <w:szCs w:val="26"/>
                        </w:rPr>
                      </w:pPr>
                      <w:r w:rsidRPr="00673EDA">
                        <w:rPr>
                          <w:b/>
                          <w:bCs/>
                          <w:sz w:val="26"/>
                          <w:szCs w:val="26"/>
                        </w:rPr>
                        <w:t>Kratke analize</w:t>
                      </w:r>
                    </w:p>
                    <w:p w14:paraId="14C8FD17" w14:textId="0ABC9B0A" w:rsidR="00BA6D9F" w:rsidRPr="00673EDA" w:rsidRDefault="001059A6" w:rsidP="004976E4">
                      <w:pPr>
                        <w:pStyle w:val="NaslovnicanaslovUMAR"/>
                        <w:spacing w:line="240" w:lineRule="auto"/>
                        <w:rPr>
                          <w:sz w:val="26"/>
                          <w:szCs w:val="26"/>
                        </w:rPr>
                      </w:pPr>
                      <w:r>
                        <w:rPr>
                          <w:sz w:val="26"/>
                          <w:szCs w:val="26"/>
                        </w:rPr>
                        <w:t>A</w:t>
                      </w:r>
                      <w:r w:rsidR="00554CDE">
                        <w:rPr>
                          <w:sz w:val="26"/>
                          <w:szCs w:val="26"/>
                        </w:rPr>
                        <w:t>vgust</w:t>
                      </w:r>
                      <w:r>
                        <w:rPr>
                          <w:sz w:val="26"/>
                          <w:szCs w:val="26"/>
                        </w:rPr>
                        <w:t xml:space="preserve"> </w:t>
                      </w:r>
                      <w:r w:rsidR="000C40B0">
                        <w:rPr>
                          <w:sz w:val="26"/>
                          <w:szCs w:val="26"/>
                        </w:rPr>
                        <w:t>2024</w:t>
                      </w:r>
                    </w:p>
                    <w:p w14:paraId="7DA21C77" w14:textId="77777777" w:rsidR="00BA6D9F" w:rsidRPr="0050616E" w:rsidRDefault="00BA6D9F" w:rsidP="00F2019E">
                      <w:pPr>
                        <w:pStyle w:val="NaslovnicanaslovUMAR"/>
                      </w:pPr>
                    </w:p>
                    <w:p w14:paraId="4F2AFB83" w14:textId="2D5B7302" w:rsidR="00002CAF" w:rsidRPr="00673EDA" w:rsidRDefault="000C40B0" w:rsidP="00F2019E">
                      <w:pPr>
                        <w:pStyle w:val="NaslovnicanaslovUMAR"/>
                        <w:rPr>
                          <w:sz w:val="52"/>
                          <w:szCs w:val="52"/>
                        </w:rPr>
                      </w:pPr>
                      <w:r w:rsidRPr="000C40B0">
                        <w:rPr>
                          <w:sz w:val="52"/>
                          <w:szCs w:val="52"/>
                        </w:rPr>
                        <w:t>Mojca Koprivnikar Šušteršič</w:t>
                      </w:r>
                    </w:p>
                    <w:p w14:paraId="73BDF2A9" w14:textId="4D0D1645" w:rsidR="00002CAF" w:rsidRPr="00673EDA" w:rsidRDefault="00E94B27" w:rsidP="008640CB">
                      <w:pPr>
                        <w:pStyle w:val="NaslovnicanaslovUMAR"/>
                        <w:jc w:val="left"/>
                        <w:rPr>
                          <w:b/>
                          <w:bCs/>
                        </w:rPr>
                      </w:pPr>
                      <w:r>
                        <w:rPr>
                          <w:b/>
                          <w:bCs/>
                        </w:rPr>
                        <w:t>P</w:t>
                      </w:r>
                      <w:r w:rsidR="000C40B0">
                        <w:rPr>
                          <w:b/>
                          <w:bCs/>
                        </w:rPr>
                        <w:t>oslovanj</w:t>
                      </w:r>
                      <w:r>
                        <w:rPr>
                          <w:b/>
                          <w:bCs/>
                        </w:rPr>
                        <w:t>e</w:t>
                      </w:r>
                      <w:r w:rsidR="008640CB">
                        <w:rPr>
                          <w:b/>
                          <w:bCs/>
                        </w:rPr>
                        <w:t xml:space="preserve"> </w:t>
                      </w:r>
                      <w:r w:rsidR="000C40B0">
                        <w:rPr>
                          <w:b/>
                          <w:bCs/>
                        </w:rPr>
                        <w:t>trgovskih gospodarskih družb do leta 2023</w:t>
                      </w:r>
                    </w:p>
                  </w:txbxContent>
                </v:textbox>
                <w10:wrap anchory="page"/>
              </v:shape>
            </w:pict>
          </mc:Fallback>
        </mc:AlternateContent>
      </w:r>
      <w:r w:rsidR="0050616E">
        <w:tab/>
      </w:r>
    </w:p>
    <w:p w14:paraId="2B71E79E" w14:textId="55736218" w:rsidR="00D61A4F" w:rsidRPr="007C6DF6" w:rsidRDefault="007C6DF6" w:rsidP="00D61A4F">
      <w:pPr>
        <w:pStyle w:val="BesediloUMAR"/>
        <w:rPr>
          <w:sz w:val="18"/>
          <w:szCs w:val="18"/>
        </w:rPr>
      </w:pPr>
      <w:bookmarkStart w:id="4" w:name="_Toc525304171"/>
      <w:bookmarkStart w:id="5" w:name="_Toc527616894"/>
      <w:bookmarkStart w:id="6" w:name="_Toc528328881"/>
      <w:bookmarkStart w:id="7" w:name="_Toc165883862"/>
      <w:bookmarkStart w:id="8" w:name="_Toc165883893"/>
      <w:bookmarkStart w:id="9" w:name="_Toc165883967"/>
      <w:bookmarkStart w:id="10" w:name="_Toc165884077"/>
      <w:r w:rsidRPr="007C6DF6">
        <w:rPr>
          <w:sz w:val="18"/>
          <w:szCs w:val="18"/>
        </w:rPr>
        <w:lastRenderedPageBreak/>
        <w:t>Zbirka k</w:t>
      </w:r>
      <w:r w:rsidR="00D61A4F" w:rsidRPr="007C6DF6">
        <w:rPr>
          <w:sz w:val="18"/>
          <w:szCs w:val="18"/>
        </w:rPr>
        <w:t xml:space="preserve">ratke analize </w:t>
      </w:r>
    </w:p>
    <w:p w14:paraId="4BCF53D1" w14:textId="4FEC2D67" w:rsidR="00D61A4F" w:rsidRPr="007C6DF6" w:rsidRDefault="00E94B27" w:rsidP="00D61A4F">
      <w:pPr>
        <w:pStyle w:val="BesediloUMAR"/>
        <w:rPr>
          <w:b/>
          <w:bCs/>
          <w:szCs w:val="20"/>
        </w:rPr>
      </w:pPr>
      <w:r w:rsidRPr="007C6DF6">
        <w:rPr>
          <w:b/>
          <w:bCs/>
          <w:szCs w:val="20"/>
        </w:rPr>
        <w:t>P</w:t>
      </w:r>
      <w:r w:rsidR="000C40B0" w:rsidRPr="007C6DF6">
        <w:rPr>
          <w:b/>
          <w:bCs/>
          <w:szCs w:val="20"/>
        </w:rPr>
        <w:t>oslovanj</w:t>
      </w:r>
      <w:r w:rsidRPr="007C6DF6">
        <w:rPr>
          <w:b/>
          <w:bCs/>
          <w:szCs w:val="20"/>
        </w:rPr>
        <w:t>e</w:t>
      </w:r>
      <w:r w:rsidR="000C40B0" w:rsidRPr="007C6DF6">
        <w:rPr>
          <w:b/>
          <w:bCs/>
          <w:szCs w:val="20"/>
        </w:rPr>
        <w:t xml:space="preserve"> trgovskih gospodarskih družb</w:t>
      </w:r>
      <w:r w:rsidR="00480403" w:rsidRPr="007C6DF6">
        <w:rPr>
          <w:b/>
          <w:bCs/>
          <w:szCs w:val="20"/>
        </w:rPr>
        <w:t xml:space="preserve"> do leta 2023</w:t>
      </w:r>
    </w:p>
    <w:p w14:paraId="6BCF5456" w14:textId="77777777" w:rsidR="00D61A4F" w:rsidRPr="00D61A4F" w:rsidRDefault="00D61A4F" w:rsidP="00D61A4F">
      <w:pPr>
        <w:pStyle w:val="BesediloUMAR"/>
        <w:rPr>
          <w:sz w:val="18"/>
          <w:szCs w:val="18"/>
        </w:rPr>
      </w:pPr>
    </w:p>
    <w:p w14:paraId="0A0B244D" w14:textId="77777777" w:rsidR="007C6DF6" w:rsidRDefault="007C6DF6" w:rsidP="007C6DF6">
      <w:pPr>
        <w:pStyle w:val="BesediloUMAR"/>
        <w:rPr>
          <w:sz w:val="18"/>
          <w:szCs w:val="18"/>
        </w:rPr>
      </w:pPr>
      <w:r w:rsidRPr="009D2ECE">
        <w:rPr>
          <w:b/>
          <w:bCs/>
          <w:sz w:val="18"/>
          <w:szCs w:val="18"/>
        </w:rPr>
        <w:t>Izdajatelj:</w:t>
      </w:r>
      <w:r w:rsidRPr="00D61A4F">
        <w:rPr>
          <w:sz w:val="18"/>
          <w:szCs w:val="18"/>
        </w:rPr>
        <w:t xml:space="preserve"> </w:t>
      </w:r>
    </w:p>
    <w:p w14:paraId="687C58CA" w14:textId="77777777" w:rsidR="007C6DF6" w:rsidRDefault="007C6DF6" w:rsidP="007C6DF6">
      <w:pPr>
        <w:pStyle w:val="BesediloUMAR"/>
        <w:rPr>
          <w:sz w:val="18"/>
          <w:szCs w:val="18"/>
        </w:rPr>
      </w:pPr>
      <w:r w:rsidRPr="00C664EE">
        <w:rPr>
          <w:sz w:val="18"/>
          <w:szCs w:val="18"/>
        </w:rPr>
        <w:t>U</w:t>
      </w:r>
      <w:r>
        <w:rPr>
          <w:sz w:val="18"/>
          <w:szCs w:val="18"/>
        </w:rPr>
        <w:t>rad RS za makroekonomske analize in razvoj</w:t>
      </w:r>
    </w:p>
    <w:p w14:paraId="05672DC7" w14:textId="77777777" w:rsidR="007C6DF6" w:rsidRDefault="007C6DF6" w:rsidP="007C6DF6">
      <w:pPr>
        <w:pStyle w:val="BesediloUMAR"/>
        <w:rPr>
          <w:sz w:val="18"/>
          <w:szCs w:val="18"/>
        </w:rPr>
      </w:pPr>
      <w:r w:rsidRPr="00C664EE">
        <w:rPr>
          <w:sz w:val="18"/>
          <w:szCs w:val="18"/>
        </w:rPr>
        <w:t xml:space="preserve">Gregorčičeva 27 </w:t>
      </w:r>
    </w:p>
    <w:p w14:paraId="6253F073" w14:textId="77777777" w:rsidR="007C6DF6" w:rsidRPr="00C664EE" w:rsidRDefault="007C6DF6" w:rsidP="007C6DF6">
      <w:pPr>
        <w:pStyle w:val="BesediloUMAR"/>
        <w:rPr>
          <w:sz w:val="18"/>
          <w:szCs w:val="18"/>
        </w:rPr>
      </w:pPr>
      <w:r>
        <w:rPr>
          <w:sz w:val="18"/>
          <w:szCs w:val="18"/>
        </w:rPr>
        <w:t>1000 Ljubljana</w:t>
      </w:r>
    </w:p>
    <w:p w14:paraId="3FC7A868" w14:textId="77777777" w:rsidR="007C6DF6" w:rsidRDefault="007C6DF6" w:rsidP="00D61A4F">
      <w:pPr>
        <w:pStyle w:val="BesediloUMAR"/>
        <w:rPr>
          <w:b/>
          <w:bCs/>
          <w:sz w:val="18"/>
          <w:szCs w:val="18"/>
        </w:rPr>
      </w:pPr>
    </w:p>
    <w:p w14:paraId="2BB9EC8B" w14:textId="0B00FBC7" w:rsidR="00D61A4F" w:rsidRPr="00D61A4F" w:rsidRDefault="00D61A4F" w:rsidP="00D61A4F">
      <w:pPr>
        <w:pStyle w:val="BesediloUMAR"/>
        <w:rPr>
          <w:sz w:val="18"/>
          <w:szCs w:val="18"/>
        </w:rPr>
      </w:pPr>
      <w:r w:rsidRPr="009D2ECE">
        <w:rPr>
          <w:b/>
          <w:bCs/>
          <w:sz w:val="18"/>
          <w:szCs w:val="18"/>
        </w:rPr>
        <w:t>Avtor:</w:t>
      </w:r>
      <w:r w:rsidR="00CF0025">
        <w:rPr>
          <w:sz w:val="18"/>
          <w:szCs w:val="18"/>
        </w:rPr>
        <w:t xml:space="preserve"> </w:t>
      </w:r>
      <w:r w:rsidR="000C40B0" w:rsidRPr="000C40B0">
        <w:rPr>
          <w:sz w:val="18"/>
          <w:szCs w:val="18"/>
        </w:rPr>
        <w:t>Mojca Koprivnikar Šušteršič</w:t>
      </w:r>
    </w:p>
    <w:p w14:paraId="16B46D8F" w14:textId="77777777" w:rsidR="00D61A4F" w:rsidRPr="00D61A4F" w:rsidRDefault="00D61A4F" w:rsidP="00D61A4F">
      <w:pPr>
        <w:pStyle w:val="BesediloUMAR"/>
        <w:rPr>
          <w:sz w:val="18"/>
          <w:szCs w:val="18"/>
        </w:rPr>
      </w:pPr>
    </w:p>
    <w:p w14:paraId="22DBD15B" w14:textId="77777777" w:rsidR="00D61A4F" w:rsidRPr="00D61A4F" w:rsidRDefault="00D61A4F" w:rsidP="00D61A4F">
      <w:pPr>
        <w:pStyle w:val="BesediloUMAR"/>
        <w:rPr>
          <w:sz w:val="18"/>
          <w:szCs w:val="18"/>
        </w:rPr>
      </w:pPr>
      <w:r w:rsidRPr="009D2ECE">
        <w:rPr>
          <w:b/>
          <w:bCs/>
          <w:sz w:val="18"/>
          <w:szCs w:val="18"/>
        </w:rPr>
        <w:t>Tehnično urejanje:</w:t>
      </w:r>
      <w:r w:rsidRPr="00D61A4F">
        <w:rPr>
          <w:sz w:val="18"/>
          <w:szCs w:val="18"/>
        </w:rPr>
        <w:t xml:space="preserve"> Mojca Bizjak </w:t>
      </w:r>
    </w:p>
    <w:p w14:paraId="65FB51B2" w14:textId="77777777" w:rsidR="00D61A4F" w:rsidRPr="00D61A4F" w:rsidRDefault="00D61A4F" w:rsidP="00D61A4F">
      <w:pPr>
        <w:pStyle w:val="BesediloUMAR"/>
        <w:rPr>
          <w:sz w:val="18"/>
          <w:szCs w:val="18"/>
        </w:rPr>
      </w:pPr>
    </w:p>
    <w:p w14:paraId="7579F7FF" w14:textId="7216A876" w:rsidR="00D61A4F" w:rsidRPr="00D61A4F" w:rsidRDefault="00D61A4F" w:rsidP="00D61A4F">
      <w:pPr>
        <w:pStyle w:val="BesediloUMAR"/>
        <w:rPr>
          <w:sz w:val="18"/>
          <w:szCs w:val="18"/>
        </w:rPr>
      </w:pPr>
      <w:r w:rsidRPr="009E1103">
        <w:rPr>
          <w:sz w:val="18"/>
          <w:szCs w:val="18"/>
        </w:rPr>
        <w:t xml:space="preserve">Ljubljana, </w:t>
      </w:r>
      <w:r w:rsidRPr="00C44361">
        <w:rPr>
          <w:sz w:val="18"/>
          <w:szCs w:val="18"/>
        </w:rPr>
        <w:fldChar w:fldCharType="begin"/>
      </w:r>
      <w:r w:rsidRPr="00C44361">
        <w:rPr>
          <w:sz w:val="18"/>
          <w:szCs w:val="18"/>
        </w:rPr>
        <w:instrText xml:space="preserve"> DATE  \@ "MMMM YYYY"  \* MERGEFORMAT </w:instrText>
      </w:r>
      <w:r w:rsidRPr="00C44361">
        <w:rPr>
          <w:sz w:val="18"/>
          <w:szCs w:val="18"/>
        </w:rPr>
        <w:fldChar w:fldCharType="separate"/>
      </w:r>
      <w:r w:rsidR="005C3464">
        <w:rPr>
          <w:noProof/>
          <w:sz w:val="18"/>
          <w:szCs w:val="18"/>
        </w:rPr>
        <w:t>avgust 2024</w:t>
      </w:r>
      <w:r w:rsidRPr="00C44361">
        <w:rPr>
          <w:sz w:val="18"/>
          <w:szCs w:val="18"/>
        </w:rPr>
        <w:fldChar w:fldCharType="end"/>
      </w:r>
    </w:p>
    <w:p w14:paraId="632BE5C6" w14:textId="77777777" w:rsidR="00D61A4F" w:rsidRPr="00D61A4F" w:rsidRDefault="00D61A4F" w:rsidP="00D61A4F">
      <w:pPr>
        <w:pStyle w:val="BesediloUMAR"/>
        <w:rPr>
          <w:sz w:val="18"/>
          <w:szCs w:val="18"/>
        </w:rPr>
      </w:pPr>
    </w:p>
    <w:p w14:paraId="261ACBC0" w14:textId="77777777" w:rsidR="00D61A4F" w:rsidRPr="00D61A4F" w:rsidRDefault="00D61A4F" w:rsidP="00D61A4F">
      <w:pPr>
        <w:pStyle w:val="BesediloUMAR"/>
        <w:rPr>
          <w:sz w:val="18"/>
          <w:szCs w:val="18"/>
        </w:rPr>
      </w:pPr>
    </w:p>
    <w:p w14:paraId="6D075106" w14:textId="77777777" w:rsidR="00D61A4F" w:rsidRPr="00D61A4F" w:rsidRDefault="00D61A4F" w:rsidP="00D61A4F">
      <w:pPr>
        <w:pStyle w:val="BesediloUMAR"/>
        <w:rPr>
          <w:sz w:val="18"/>
          <w:szCs w:val="18"/>
        </w:rPr>
      </w:pPr>
    </w:p>
    <w:p w14:paraId="4CBC4FEF" w14:textId="77777777" w:rsidR="00D61A4F" w:rsidRPr="00D61A4F" w:rsidRDefault="00D61A4F" w:rsidP="00D61A4F">
      <w:pPr>
        <w:pStyle w:val="BesediloUMAR"/>
        <w:rPr>
          <w:sz w:val="18"/>
          <w:szCs w:val="18"/>
        </w:rPr>
      </w:pPr>
    </w:p>
    <w:p w14:paraId="6F536E4B" w14:textId="77777777" w:rsidR="00D61A4F" w:rsidRPr="00D61A4F" w:rsidRDefault="00D61A4F" w:rsidP="00D61A4F">
      <w:pPr>
        <w:pStyle w:val="BesediloUMAR"/>
        <w:rPr>
          <w:sz w:val="18"/>
          <w:szCs w:val="18"/>
        </w:rPr>
      </w:pPr>
    </w:p>
    <w:p w14:paraId="6EBB37B7" w14:textId="77777777" w:rsidR="00D61A4F" w:rsidRPr="00D61A4F" w:rsidRDefault="00D61A4F" w:rsidP="00D61A4F">
      <w:pPr>
        <w:pStyle w:val="BesediloUMAR"/>
        <w:rPr>
          <w:sz w:val="18"/>
          <w:szCs w:val="18"/>
        </w:rPr>
      </w:pPr>
    </w:p>
    <w:p w14:paraId="1F556D14" w14:textId="77777777" w:rsidR="00D61A4F" w:rsidRPr="00D61A4F" w:rsidRDefault="00D61A4F" w:rsidP="00D61A4F">
      <w:pPr>
        <w:pStyle w:val="BesediloUMAR"/>
        <w:rPr>
          <w:sz w:val="18"/>
          <w:szCs w:val="18"/>
        </w:rPr>
      </w:pPr>
    </w:p>
    <w:p w14:paraId="2B466D03" w14:textId="77777777" w:rsidR="00D61A4F" w:rsidRPr="00D61A4F" w:rsidRDefault="00D61A4F" w:rsidP="00D61A4F">
      <w:pPr>
        <w:pStyle w:val="BesediloUMAR"/>
        <w:rPr>
          <w:sz w:val="18"/>
          <w:szCs w:val="18"/>
        </w:rPr>
      </w:pPr>
    </w:p>
    <w:p w14:paraId="47D0D046" w14:textId="77777777" w:rsidR="00D61A4F" w:rsidRPr="00D61A4F" w:rsidRDefault="00D61A4F" w:rsidP="00D61A4F">
      <w:pPr>
        <w:pStyle w:val="BesediloUMAR"/>
        <w:rPr>
          <w:sz w:val="18"/>
          <w:szCs w:val="18"/>
        </w:rPr>
      </w:pPr>
    </w:p>
    <w:p w14:paraId="30D2F282" w14:textId="77777777" w:rsidR="00D61A4F" w:rsidRPr="00D61A4F" w:rsidRDefault="00D61A4F" w:rsidP="00D61A4F">
      <w:pPr>
        <w:pStyle w:val="BesediloUMAR"/>
        <w:rPr>
          <w:sz w:val="18"/>
          <w:szCs w:val="18"/>
        </w:rPr>
      </w:pPr>
    </w:p>
    <w:p w14:paraId="27AE4057" w14:textId="77777777" w:rsidR="00D61A4F" w:rsidRPr="00D61A4F" w:rsidRDefault="00D61A4F" w:rsidP="00D61A4F">
      <w:pPr>
        <w:pStyle w:val="BesediloUMAR"/>
        <w:rPr>
          <w:sz w:val="18"/>
          <w:szCs w:val="18"/>
        </w:rPr>
      </w:pPr>
    </w:p>
    <w:p w14:paraId="62E71EA6" w14:textId="77777777" w:rsidR="00D61A4F" w:rsidRPr="00D61A4F" w:rsidRDefault="00D61A4F" w:rsidP="00D61A4F">
      <w:pPr>
        <w:pStyle w:val="BesediloUMAR"/>
        <w:rPr>
          <w:sz w:val="18"/>
          <w:szCs w:val="18"/>
        </w:rPr>
      </w:pPr>
    </w:p>
    <w:p w14:paraId="578FA65D" w14:textId="77777777" w:rsidR="00D61A4F" w:rsidRPr="00D61A4F" w:rsidRDefault="00D61A4F" w:rsidP="00D61A4F">
      <w:pPr>
        <w:pStyle w:val="BesediloUMAR"/>
        <w:rPr>
          <w:sz w:val="18"/>
          <w:szCs w:val="18"/>
        </w:rPr>
      </w:pPr>
    </w:p>
    <w:p w14:paraId="3CEE1261" w14:textId="77777777" w:rsidR="00D61A4F" w:rsidRPr="00D61A4F" w:rsidRDefault="00D61A4F" w:rsidP="00D61A4F">
      <w:pPr>
        <w:pStyle w:val="BesediloUMAR"/>
        <w:rPr>
          <w:sz w:val="18"/>
          <w:szCs w:val="18"/>
        </w:rPr>
      </w:pPr>
    </w:p>
    <w:p w14:paraId="1443EFDA" w14:textId="77777777" w:rsidR="00D61A4F" w:rsidRPr="00D61A4F" w:rsidRDefault="00D61A4F" w:rsidP="00D61A4F">
      <w:pPr>
        <w:pStyle w:val="BesediloUMAR"/>
        <w:rPr>
          <w:sz w:val="18"/>
          <w:szCs w:val="18"/>
        </w:rPr>
      </w:pPr>
    </w:p>
    <w:p w14:paraId="0D554528" w14:textId="77777777" w:rsidR="00D61A4F" w:rsidRPr="00D61A4F" w:rsidRDefault="00D61A4F" w:rsidP="00D61A4F">
      <w:pPr>
        <w:pStyle w:val="BesediloUMAR"/>
        <w:rPr>
          <w:sz w:val="18"/>
          <w:szCs w:val="18"/>
        </w:rPr>
      </w:pPr>
    </w:p>
    <w:p w14:paraId="1B4AC389" w14:textId="77777777" w:rsidR="00D61A4F" w:rsidRPr="00D61A4F" w:rsidRDefault="00D61A4F" w:rsidP="00D61A4F">
      <w:pPr>
        <w:pStyle w:val="BesediloUMAR"/>
        <w:rPr>
          <w:sz w:val="18"/>
          <w:szCs w:val="18"/>
        </w:rPr>
      </w:pPr>
    </w:p>
    <w:p w14:paraId="1E3C147F" w14:textId="77777777" w:rsidR="00D61A4F" w:rsidRPr="00D61A4F" w:rsidRDefault="00D61A4F" w:rsidP="00D61A4F">
      <w:pPr>
        <w:pStyle w:val="BesediloUMAR"/>
        <w:rPr>
          <w:sz w:val="18"/>
          <w:szCs w:val="18"/>
        </w:rPr>
      </w:pPr>
    </w:p>
    <w:p w14:paraId="01EB08AF" w14:textId="77777777" w:rsidR="00D61A4F" w:rsidRPr="00D61A4F" w:rsidRDefault="00D61A4F" w:rsidP="00D61A4F">
      <w:pPr>
        <w:pStyle w:val="BesediloUMAR"/>
        <w:rPr>
          <w:sz w:val="18"/>
          <w:szCs w:val="18"/>
        </w:rPr>
      </w:pPr>
    </w:p>
    <w:p w14:paraId="30B8CC0F" w14:textId="77777777" w:rsidR="00D61A4F" w:rsidRPr="00D61A4F" w:rsidRDefault="00D61A4F" w:rsidP="00D61A4F">
      <w:pPr>
        <w:pStyle w:val="BesediloUMAR"/>
        <w:rPr>
          <w:sz w:val="18"/>
          <w:szCs w:val="18"/>
        </w:rPr>
      </w:pPr>
    </w:p>
    <w:p w14:paraId="3C7934EB" w14:textId="77777777" w:rsidR="00D61A4F" w:rsidRPr="00D61A4F" w:rsidRDefault="00D61A4F" w:rsidP="00D61A4F">
      <w:pPr>
        <w:pStyle w:val="BesediloUMAR"/>
        <w:rPr>
          <w:sz w:val="18"/>
          <w:szCs w:val="18"/>
        </w:rPr>
      </w:pPr>
    </w:p>
    <w:p w14:paraId="10EFE135" w14:textId="77777777" w:rsidR="00D61A4F" w:rsidRPr="00D61A4F" w:rsidRDefault="00D61A4F" w:rsidP="00D61A4F">
      <w:pPr>
        <w:pStyle w:val="BesediloUMAR"/>
        <w:rPr>
          <w:sz w:val="18"/>
          <w:szCs w:val="18"/>
        </w:rPr>
      </w:pPr>
    </w:p>
    <w:p w14:paraId="5D9F6CD1" w14:textId="77777777" w:rsidR="00D61A4F" w:rsidRPr="00D61A4F" w:rsidRDefault="00D61A4F" w:rsidP="00D61A4F">
      <w:pPr>
        <w:pStyle w:val="BesediloUMAR"/>
        <w:rPr>
          <w:sz w:val="18"/>
          <w:szCs w:val="18"/>
        </w:rPr>
      </w:pPr>
    </w:p>
    <w:p w14:paraId="481E8177" w14:textId="77777777" w:rsidR="00D61A4F" w:rsidRPr="00D61A4F" w:rsidRDefault="00D61A4F" w:rsidP="00D61A4F">
      <w:pPr>
        <w:pStyle w:val="BesediloUMAR"/>
        <w:rPr>
          <w:sz w:val="18"/>
          <w:szCs w:val="18"/>
        </w:rPr>
      </w:pPr>
    </w:p>
    <w:p w14:paraId="55598F84" w14:textId="77777777" w:rsidR="00D61A4F" w:rsidRDefault="00D61A4F" w:rsidP="00D61A4F">
      <w:pPr>
        <w:pStyle w:val="BesediloUMAR"/>
        <w:rPr>
          <w:sz w:val="18"/>
          <w:szCs w:val="18"/>
        </w:rPr>
      </w:pPr>
    </w:p>
    <w:p w14:paraId="500EDEFA" w14:textId="77777777" w:rsidR="007C6DF6" w:rsidRDefault="007C6DF6" w:rsidP="00D61A4F">
      <w:pPr>
        <w:pStyle w:val="BesediloUMAR"/>
        <w:rPr>
          <w:sz w:val="18"/>
          <w:szCs w:val="18"/>
        </w:rPr>
      </w:pPr>
    </w:p>
    <w:p w14:paraId="6F40BC23" w14:textId="77777777" w:rsidR="007C6DF6" w:rsidRDefault="007C6DF6" w:rsidP="00D61A4F">
      <w:pPr>
        <w:pStyle w:val="BesediloUMAR"/>
        <w:rPr>
          <w:sz w:val="18"/>
          <w:szCs w:val="18"/>
        </w:rPr>
      </w:pPr>
    </w:p>
    <w:p w14:paraId="0CA76216" w14:textId="77777777" w:rsidR="007C6DF6" w:rsidRDefault="007C6DF6" w:rsidP="00D61A4F">
      <w:pPr>
        <w:pStyle w:val="BesediloUMAR"/>
        <w:rPr>
          <w:sz w:val="18"/>
          <w:szCs w:val="18"/>
        </w:rPr>
      </w:pPr>
    </w:p>
    <w:p w14:paraId="62CE90DC" w14:textId="77777777" w:rsidR="007C6DF6" w:rsidRPr="00D61A4F" w:rsidRDefault="007C6DF6" w:rsidP="00D61A4F">
      <w:pPr>
        <w:pStyle w:val="BesediloUMAR"/>
        <w:rPr>
          <w:sz w:val="18"/>
          <w:szCs w:val="18"/>
        </w:rPr>
      </w:pPr>
    </w:p>
    <w:p w14:paraId="67E39A43" w14:textId="77777777" w:rsidR="00D61A4F" w:rsidRDefault="00D61A4F" w:rsidP="00D61A4F">
      <w:pPr>
        <w:pStyle w:val="BesediloUMAR"/>
        <w:rPr>
          <w:sz w:val="18"/>
          <w:szCs w:val="18"/>
        </w:rPr>
      </w:pPr>
    </w:p>
    <w:p w14:paraId="58E77147" w14:textId="77777777" w:rsidR="00D61A4F" w:rsidRPr="00D61A4F" w:rsidRDefault="00D61A4F" w:rsidP="00D61A4F">
      <w:pPr>
        <w:pStyle w:val="BesediloUMAR"/>
        <w:rPr>
          <w:sz w:val="18"/>
          <w:szCs w:val="18"/>
        </w:rPr>
      </w:pPr>
    </w:p>
    <w:p w14:paraId="04E6844F" w14:textId="77777777" w:rsidR="007C6DF6" w:rsidRDefault="007C6DF6" w:rsidP="007C6DF6">
      <w:pPr>
        <w:pStyle w:val="BesediloUMAR"/>
        <w:rPr>
          <w:sz w:val="18"/>
          <w:szCs w:val="18"/>
        </w:rPr>
      </w:pPr>
      <w:r>
        <w:rPr>
          <w:sz w:val="18"/>
          <w:szCs w:val="18"/>
        </w:rPr>
        <w:t>Kataložni zapis o publikaciji (CIP) pripravili v Narodni in univerzitetni knjižnici v Ljubljani</w:t>
      </w:r>
    </w:p>
    <w:p w14:paraId="07789FA3" w14:textId="77777777" w:rsidR="006362A0" w:rsidRPr="006362A0" w:rsidRDefault="006362A0" w:rsidP="006362A0">
      <w:pPr>
        <w:pStyle w:val="BesediloUMAR"/>
        <w:rPr>
          <w:sz w:val="18"/>
          <w:szCs w:val="18"/>
        </w:rPr>
      </w:pPr>
      <w:r w:rsidRPr="006362A0">
        <w:rPr>
          <w:sz w:val="18"/>
          <w:szCs w:val="18"/>
        </w:rPr>
        <w:t>COBISS.SI-ID 203708931</w:t>
      </w:r>
    </w:p>
    <w:p w14:paraId="0E8B5603" w14:textId="3990E0EB" w:rsidR="007C6DF6" w:rsidRDefault="006362A0" w:rsidP="006362A0">
      <w:pPr>
        <w:pStyle w:val="BesediloUMAR"/>
        <w:rPr>
          <w:sz w:val="18"/>
          <w:szCs w:val="18"/>
        </w:rPr>
      </w:pPr>
      <w:r w:rsidRPr="006362A0">
        <w:rPr>
          <w:sz w:val="18"/>
          <w:szCs w:val="18"/>
        </w:rPr>
        <w:t>ISBN 978-961-6839-52-5 (PDF)</w:t>
      </w:r>
    </w:p>
    <w:p w14:paraId="6692B1E4" w14:textId="77777777" w:rsidR="006362A0" w:rsidRDefault="006362A0" w:rsidP="006362A0">
      <w:pPr>
        <w:pStyle w:val="BesediloUMAR"/>
        <w:rPr>
          <w:sz w:val="18"/>
          <w:szCs w:val="24"/>
        </w:rPr>
      </w:pPr>
    </w:p>
    <w:p w14:paraId="126F66AB" w14:textId="202A905A" w:rsidR="007C6DF6" w:rsidRDefault="007C6DF6" w:rsidP="0058599B">
      <w:pPr>
        <w:pStyle w:val="BesediloUMAR"/>
        <w:jc w:val="left"/>
        <w:rPr>
          <w:sz w:val="18"/>
          <w:szCs w:val="24"/>
        </w:rPr>
      </w:pPr>
      <w:r w:rsidRPr="006362A0">
        <w:rPr>
          <w:sz w:val="18"/>
          <w:szCs w:val="24"/>
        </w:rPr>
        <w:t>Spletna lokacija publikacije:</w:t>
      </w:r>
      <w:r w:rsidR="006362A0" w:rsidRPr="006362A0">
        <w:rPr>
          <w:sz w:val="18"/>
          <w:szCs w:val="24"/>
        </w:rPr>
        <w:t xml:space="preserve"> </w:t>
      </w:r>
      <w:r w:rsidR="0058599B">
        <w:rPr>
          <w:sz w:val="18"/>
          <w:szCs w:val="24"/>
        </w:rPr>
        <w:br/>
      </w:r>
      <w:r w:rsidR="0058599B" w:rsidRPr="0058599B">
        <w:rPr>
          <w:sz w:val="18"/>
          <w:szCs w:val="24"/>
        </w:rPr>
        <w:t>www.umar.gov.si/publikacije/kratke-analize/publikacija/poslovanje-trgovskih-gospodarskih-druzb-do-leta-2023</w:t>
      </w:r>
    </w:p>
    <w:p w14:paraId="56C25CBA" w14:textId="77777777" w:rsidR="007C6DF6" w:rsidRDefault="007C6DF6" w:rsidP="007C6DF6">
      <w:pPr>
        <w:pStyle w:val="BesediloUMAR"/>
        <w:rPr>
          <w:sz w:val="18"/>
          <w:szCs w:val="24"/>
        </w:rPr>
      </w:pPr>
    </w:p>
    <w:p w14:paraId="796C24A8" w14:textId="77777777" w:rsidR="007C6DF6" w:rsidRDefault="007C6DF6" w:rsidP="007C6DF6">
      <w:pPr>
        <w:pStyle w:val="BesediloUMAR"/>
        <w:rPr>
          <w:sz w:val="18"/>
          <w:szCs w:val="24"/>
        </w:rPr>
      </w:pPr>
      <w:r>
        <w:rPr>
          <w:sz w:val="18"/>
          <w:szCs w:val="24"/>
        </w:rPr>
        <w:t xml:space="preserve">Publikacija je brezplačna. </w:t>
      </w:r>
    </w:p>
    <w:p w14:paraId="6476617B" w14:textId="77777777" w:rsidR="0014792F" w:rsidRPr="00D61A4F" w:rsidRDefault="0014792F" w:rsidP="00D61A4F">
      <w:pPr>
        <w:pStyle w:val="BesediloUMAR"/>
        <w:rPr>
          <w:sz w:val="18"/>
          <w:szCs w:val="24"/>
        </w:rPr>
      </w:pPr>
    </w:p>
    <w:p w14:paraId="2C868AFE" w14:textId="77777777" w:rsidR="00D61A4F" w:rsidRPr="00D61A4F" w:rsidRDefault="00D61A4F" w:rsidP="00D61A4F">
      <w:pPr>
        <w:pStyle w:val="BesediloUMAR"/>
        <w:rPr>
          <w:sz w:val="18"/>
          <w:szCs w:val="24"/>
        </w:rPr>
      </w:pPr>
      <w:r w:rsidRPr="00D61A4F">
        <w:rPr>
          <w:sz w:val="18"/>
          <w:szCs w:val="24"/>
        </w:rPr>
        <w:t>©2024, Urad RS za makroekonomske analize in razvoj</w:t>
      </w:r>
    </w:p>
    <w:p w14:paraId="408F0DE9" w14:textId="77777777" w:rsidR="00D61A4F" w:rsidRDefault="00D61A4F" w:rsidP="00D61A4F">
      <w:pPr>
        <w:pStyle w:val="BesediloUMAR"/>
        <w:rPr>
          <w:sz w:val="18"/>
          <w:szCs w:val="24"/>
        </w:rPr>
      </w:pPr>
      <w:r w:rsidRPr="00D61A4F">
        <w:rPr>
          <w:sz w:val="18"/>
          <w:szCs w:val="24"/>
        </w:rPr>
        <w:t xml:space="preserve">Razmnoževanje publikacije ali njenih delov ni dovoljeno. </w:t>
      </w:r>
    </w:p>
    <w:p w14:paraId="4B15831A" w14:textId="77777777" w:rsidR="00D61A4F" w:rsidRPr="00D61A4F" w:rsidRDefault="00D61A4F" w:rsidP="00D61A4F">
      <w:pPr>
        <w:pStyle w:val="BesediloUMAR"/>
        <w:rPr>
          <w:sz w:val="22"/>
          <w:szCs w:val="24"/>
        </w:rPr>
      </w:pPr>
      <w:r w:rsidRPr="00D61A4F">
        <w:rPr>
          <w:sz w:val="18"/>
          <w:szCs w:val="24"/>
        </w:rPr>
        <w:t>Objava besedila in podatkov v celoti ali deloma je dovoljena le z navedbo vira.</w:t>
      </w:r>
    </w:p>
    <w:p w14:paraId="13536606" w14:textId="77777777" w:rsidR="00D61A4F" w:rsidRPr="00D61A4F" w:rsidRDefault="00D61A4F" w:rsidP="00D61A4F">
      <w:pPr>
        <w:pStyle w:val="BesediloUMAR"/>
        <w:sectPr w:rsidR="00D61A4F" w:rsidRPr="00D61A4F" w:rsidSect="009D2ECE">
          <w:headerReference w:type="default" r:id="rId10"/>
          <w:pgSz w:w="11906" w:h="16838"/>
          <w:pgMar w:top="1701" w:right="1418" w:bottom="1418" w:left="1418" w:header="567" w:footer="567" w:gutter="0"/>
          <w:pgNumType w:start="1"/>
          <w:cols w:space="708"/>
          <w:docGrid w:linePitch="360"/>
        </w:sectPr>
      </w:pPr>
    </w:p>
    <w:bookmarkEnd w:id="10" w:displacedByCustomXml="next"/>
    <w:bookmarkEnd w:id="9" w:displacedByCustomXml="next"/>
    <w:bookmarkEnd w:id="8" w:displacedByCustomXml="next"/>
    <w:bookmarkEnd w:id="7" w:displacedByCustomXml="next"/>
    <w:sdt>
      <w:sdtPr>
        <w:rPr>
          <w:rFonts w:eastAsiaTheme="minorHAnsi" w:cstheme="minorBidi"/>
          <w:b w:val="0"/>
          <w:color w:val="auto"/>
          <w:sz w:val="20"/>
          <w:szCs w:val="22"/>
          <w:lang w:val="sl-SI"/>
        </w:rPr>
        <w:id w:val="-790444026"/>
        <w:docPartObj>
          <w:docPartGallery w:val="Table of Contents"/>
          <w:docPartUnique/>
        </w:docPartObj>
      </w:sdtPr>
      <w:sdtEndPr/>
      <w:sdtContent>
        <w:p w14:paraId="119D518C" w14:textId="299833AC" w:rsidR="00622720" w:rsidRPr="007C6DF6" w:rsidRDefault="00AB5854" w:rsidP="007C6DF6">
          <w:pPr>
            <w:pStyle w:val="NaslovTOC"/>
            <w:spacing w:after="240"/>
            <w:rPr>
              <w:color w:val="9E001A" w:themeColor="accent1"/>
              <w:lang w:val="sl-SI"/>
            </w:rPr>
          </w:pPr>
          <w:r w:rsidRPr="00D61A4F">
            <w:rPr>
              <w:color w:val="9E001A" w:themeColor="accent1"/>
              <w:lang w:val="sl-SI"/>
            </w:rPr>
            <w:t>Vsebina</w:t>
          </w:r>
        </w:p>
        <w:p w14:paraId="5A73AD2A" w14:textId="7A23E5AA" w:rsidR="00FA74A2" w:rsidRPr="00133DC0" w:rsidRDefault="00C44361" w:rsidP="00FA74A2">
          <w:pPr>
            <w:pStyle w:val="Kazalovsebine1"/>
            <w:rPr>
              <w:rFonts w:asciiTheme="minorHAnsi" w:eastAsiaTheme="minorEastAsia" w:hAnsiTheme="minorHAnsi" w:cstheme="minorBidi"/>
              <w:b w:val="0"/>
              <w:bCs w:val="0"/>
              <w:kern w:val="2"/>
              <w:sz w:val="22"/>
              <w:szCs w:val="22"/>
              <w:lang w:eastAsia="sl-SI"/>
              <w14:ligatures w14:val="standardContextual"/>
            </w:rPr>
          </w:pPr>
          <w:r w:rsidRPr="00133DC0">
            <w:rPr>
              <w:b w:val="0"/>
              <w:bCs w:val="0"/>
            </w:rPr>
            <w:tab/>
          </w:r>
          <w:r w:rsidR="00AB5854" w:rsidRPr="00133DC0">
            <w:rPr>
              <w:b w:val="0"/>
              <w:bCs w:val="0"/>
            </w:rPr>
            <w:fldChar w:fldCharType="begin"/>
          </w:r>
          <w:r w:rsidR="00AB5854" w:rsidRPr="00133DC0">
            <w:rPr>
              <w:b w:val="0"/>
              <w:bCs w:val="0"/>
            </w:rPr>
            <w:instrText xml:space="preserve"> TOC \o "1-3" \h \z \u </w:instrText>
          </w:r>
          <w:r w:rsidR="00AB5854" w:rsidRPr="00133DC0">
            <w:rPr>
              <w:b w:val="0"/>
              <w:bCs w:val="0"/>
            </w:rPr>
            <w:fldChar w:fldCharType="separate"/>
          </w:r>
          <w:hyperlink w:anchor="_Toc170819227" w:history="1">
            <w:r w:rsidR="00FA74A2" w:rsidRPr="00133DC0">
              <w:rPr>
                <w:rStyle w:val="Hiperpovezava"/>
                <w:b w:val="0"/>
                <w:bCs w:val="0"/>
              </w:rPr>
              <w:t>Povzetek</w:t>
            </w:r>
            <w:r w:rsidR="00FA74A2" w:rsidRPr="00133DC0">
              <w:rPr>
                <w:b w:val="0"/>
                <w:bCs w:val="0"/>
                <w:webHidden/>
              </w:rPr>
              <w:tab/>
            </w:r>
            <w:r w:rsidR="00FA74A2" w:rsidRPr="00133DC0">
              <w:rPr>
                <w:b w:val="0"/>
                <w:bCs w:val="0"/>
                <w:webHidden/>
              </w:rPr>
              <w:fldChar w:fldCharType="begin"/>
            </w:r>
            <w:r w:rsidR="00FA74A2" w:rsidRPr="00133DC0">
              <w:rPr>
                <w:b w:val="0"/>
                <w:bCs w:val="0"/>
                <w:webHidden/>
              </w:rPr>
              <w:instrText xml:space="preserve"> PAGEREF _Toc170819227 \h </w:instrText>
            </w:r>
            <w:r w:rsidR="00FA74A2" w:rsidRPr="00133DC0">
              <w:rPr>
                <w:b w:val="0"/>
                <w:bCs w:val="0"/>
                <w:webHidden/>
              </w:rPr>
            </w:r>
            <w:r w:rsidR="00FA74A2" w:rsidRPr="00133DC0">
              <w:rPr>
                <w:b w:val="0"/>
                <w:bCs w:val="0"/>
                <w:webHidden/>
              </w:rPr>
              <w:fldChar w:fldCharType="separate"/>
            </w:r>
            <w:r w:rsidR="00C42641">
              <w:rPr>
                <w:b w:val="0"/>
                <w:bCs w:val="0"/>
                <w:webHidden/>
              </w:rPr>
              <w:t>1</w:t>
            </w:r>
            <w:r w:rsidR="00FA74A2" w:rsidRPr="00133DC0">
              <w:rPr>
                <w:b w:val="0"/>
                <w:bCs w:val="0"/>
                <w:webHidden/>
              </w:rPr>
              <w:fldChar w:fldCharType="end"/>
            </w:r>
          </w:hyperlink>
        </w:p>
        <w:p w14:paraId="22C71B79" w14:textId="4C6C8A1D" w:rsidR="00FA74A2" w:rsidRPr="00133DC0" w:rsidRDefault="005C3464" w:rsidP="00FA74A2">
          <w:pPr>
            <w:pStyle w:val="Kazalovsebine1"/>
            <w:rPr>
              <w:rFonts w:asciiTheme="minorHAnsi" w:eastAsiaTheme="minorEastAsia" w:hAnsiTheme="minorHAnsi" w:cstheme="minorBidi"/>
              <w:b w:val="0"/>
              <w:bCs w:val="0"/>
              <w:kern w:val="2"/>
              <w:sz w:val="22"/>
              <w:szCs w:val="22"/>
              <w:lang w:eastAsia="sl-SI"/>
              <w14:ligatures w14:val="standardContextual"/>
            </w:rPr>
          </w:pPr>
          <w:hyperlink w:anchor="_Toc170819228" w:history="1">
            <w:r w:rsidR="00FA74A2" w:rsidRPr="00133DC0">
              <w:rPr>
                <w:rStyle w:val="Hiperpovezava"/>
                <w:b w:val="0"/>
                <w:bCs w:val="0"/>
              </w:rPr>
              <w:t>1</w:t>
            </w:r>
            <w:r w:rsidR="00FA74A2" w:rsidRPr="00133DC0">
              <w:rPr>
                <w:rFonts w:asciiTheme="minorHAnsi" w:eastAsiaTheme="minorEastAsia" w:hAnsiTheme="minorHAnsi" w:cstheme="minorBidi"/>
                <w:b w:val="0"/>
                <w:bCs w:val="0"/>
                <w:kern w:val="2"/>
                <w:sz w:val="22"/>
                <w:szCs w:val="22"/>
                <w:lang w:eastAsia="sl-SI"/>
                <w14:ligatures w14:val="standardContextual"/>
              </w:rPr>
              <w:tab/>
            </w:r>
            <w:r w:rsidR="00FA74A2" w:rsidRPr="00133DC0">
              <w:rPr>
                <w:rStyle w:val="Hiperpovezava"/>
                <w:b w:val="0"/>
                <w:bCs w:val="0"/>
              </w:rPr>
              <w:t>Uvod</w:t>
            </w:r>
            <w:r w:rsidR="00FA74A2" w:rsidRPr="00133DC0">
              <w:rPr>
                <w:b w:val="0"/>
                <w:bCs w:val="0"/>
                <w:webHidden/>
              </w:rPr>
              <w:tab/>
            </w:r>
            <w:r w:rsidR="00FA74A2" w:rsidRPr="00133DC0">
              <w:rPr>
                <w:b w:val="0"/>
                <w:bCs w:val="0"/>
                <w:webHidden/>
              </w:rPr>
              <w:fldChar w:fldCharType="begin"/>
            </w:r>
            <w:r w:rsidR="00FA74A2" w:rsidRPr="00133DC0">
              <w:rPr>
                <w:b w:val="0"/>
                <w:bCs w:val="0"/>
                <w:webHidden/>
              </w:rPr>
              <w:instrText xml:space="preserve"> PAGEREF _Toc170819228 \h </w:instrText>
            </w:r>
            <w:r w:rsidR="00FA74A2" w:rsidRPr="00133DC0">
              <w:rPr>
                <w:b w:val="0"/>
                <w:bCs w:val="0"/>
                <w:webHidden/>
              </w:rPr>
            </w:r>
            <w:r w:rsidR="00FA74A2" w:rsidRPr="00133DC0">
              <w:rPr>
                <w:b w:val="0"/>
                <w:bCs w:val="0"/>
                <w:webHidden/>
              </w:rPr>
              <w:fldChar w:fldCharType="separate"/>
            </w:r>
            <w:r w:rsidR="00C42641">
              <w:rPr>
                <w:b w:val="0"/>
                <w:bCs w:val="0"/>
                <w:webHidden/>
              </w:rPr>
              <w:t>2</w:t>
            </w:r>
            <w:r w:rsidR="00FA74A2" w:rsidRPr="00133DC0">
              <w:rPr>
                <w:b w:val="0"/>
                <w:bCs w:val="0"/>
                <w:webHidden/>
              </w:rPr>
              <w:fldChar w:fldCharType="end"/>
            </w:r>
          </w:hyperlink>
        </w:p>
        <w:p w14:paraId="4B75A40F" w14:textId="79C48E57" w:rsidR="00FA74A2" w:rsidRPr="00133DC0" w:rsidRDefault="005C3464" w:rsidP="00FA74A2">
          <w:pPr>
            <w:pStyle w:val="Kazalovsebine1"/>
            <w:rPr>
              <w:rFonts w:asciiTheme="minorHAnsi" w:eastAsiaTheme="minorEastAsia" w:hAnsiTheme="minorHAnsi" w:cstheme="minorBidi"/>
              <w:b w:val="0"/>
              <w:bCs w:val="0"/>
              <w:kern w:val="2"/>
              <w:sz w:val="22"/>
              <w:szCs w:val="22"/>
              <w:lang w:eastAsia="sl-SI"/>
              <w14:ligatures w14:val="standardContextual"/>
            </w:rPr>
          </w:pPr>
          <w:hyperlink w:anchor="_Toc170819229" w:history="1">
            <w:r w:rsidR="00FA74A2" w:rsidRPr="00133DC0">
              <w:rPr>
                <w:rStyle w:val="Hiperpovezava"/>
                <w:rFonts w:cs="Arial"/>
                <w:b w:val="0"/>
                <w:bCs w:val="0"/>
              </w:rPr>
              <w:t>2</w:t>
            </w:r>
            <w:r w:rsidR="00FA74A2" w:rsidRPr="00133DC0">
              <w:rPr>
                <w:rFonts w:asciiTheme="minorHAnsi" w:eastAsiaTheme="minorEastAsia" w:hAnsiTheme="minorHAnsi" w:cstheme="minorBidi"/>
                <w:b w:val="0"/>
                <w:bCs w:val="0"/>
                <w:kern w:val="2"/>
                <w:sz w:val="22"/>
                <w:szCs w:val="22"/>
                <w:lang w:eastAsia="sl-SI"/>
                <w14:ligatures w14:val="standardContextual"/>
              </w:rPr>
              <w:tab/>
            </w:r>
            <w:r w:rsidR="00FA74A2" w:rsidRPr="00133DC0">
              <w:rPr>
                <w:rStyle w:val="Hiperpovezava"/>
                <w:rFonts w:cs="Arial"/>
                <w:b w:val="0"/>
                <w:bCs w:val="0"/>
              </w:rPr>
              <w:t>Poslovanje trgovskih gospodarskih družb</w:t>
            </w:r>
            <w:r w:rsidR="00FA74A2" w:rsidRPr="00133DC0">
              <w:rPr>
                <w:b w:val="0"/>
                <w:bCs w:val="0"/>
                <w:webHidden/>
              </w:rPr>
              <w:tab/>
            </w:r>
            <w:r w:rsidR="00FA74A2" w:rsidRPr="00133DC0">
              <w:rPr>
                <w:b w:val="0"/>
                <w:bCs w:val="0"/>
                <w:webHidden/>
              </w:rPr>
              <w:fldChar w:fldCharType="begin"/>
            </w:r>
            <w:r w:rsidR="00FA74A2" w:rsidRPr="00133DC0">
              <w:rPr>
                <w:b w:val="0"/>
                <w:bCs w:val="0"/>
                <w:webHidden/>
              </w:rPr>
              <w:instrText xml:space="preserve"> PAGEREF _Toc170819229 \h </w:instrText>
            </w:r>
            <w:r w:rsidR="00FA74A2" w:rsidRPr="00133DC0">
              <w:rPr>
                <w:b w:val="0"/>
                <w:bCs w:val="0"/>
                <w:webHidden/>
              </w:rPr>
            </w:r>
            <w:r w:rsidR="00FA74A2" w:rsidRPr="00133DC0">
              <w:rPr>
                <w:b w:val="0"/>
                <w:bCs w:val="0"/>
                <w:webHidden/>
              </w:rPr>
              <w:fldChar w:fldCharType="separate"/>
            </w:r>
            <w:r w:rsidR="00C42641">
              <w:rPr>
                <w:b w:val="0"/>
                <w:bCs w:val="0"/>
                <w:webHidden/>
              </w:rPr>
              <w:t>3</w:t>
            </w:r>
            <w:r w:rsidR="00FA74A2" w:rsidRPr="00133DC0">
              <w:rPr>
                <w:b w:val="0"/>
                <w:bCs w:val="0"/>
                <w:webHidden/>
              </w:rPr>
              <w:fldChar w:fldCharType="end"/>
            </w:r>
          </w:hyperlink>
        </w:p>
        <w:p w14:paraId="7B23A8A4" w14:textId="3405FE3C" w:rsidR="00FA74A2" w:rsidRPr="00133DC0" w:rsidRDefault="005C3464">
          <w:pPr>
            <w:pStyle w:val="Kazalovsebine2"/>
            <w:rPr>
              <w:rFonts w:asciiTheme="minorHAnsi" w:eastAsiaTheme="minorEastAsia" w:hAnsiTheme="minorHAnsi"/>
              <w:kern w:val="2"/>
              <w:sz w:val="22"/>
              <w:lang w:eastAsia="sl-SI"/>
              <w14:ligatures w14:val="standardContextual"/>
            </w:rPr>
          </w:pPr>
          <w:hyperlink w:anchor="_Toc170819230" w:history="1">
            <w:r w:rsidR="00FA74A2" w:rsidRPr="00133DC0">
              <w:rPr>
                <w:rStyle w:val="Hiperpovezava"/>
              </w:rPr>
              <w:t>2.1 Trgovina z motornimi vozili in njihovimi popravili</w:t>
            </w:r>
            <w:r w:rsidR="00FA74A2" w:rsidRPr="00133DC0">
              <w:rPr>
                <w:webHidden/>
              </w:rPr>
              <w:tab/>
            </w:r>
            <w:r w:rsidR="00FA74A2" w:rsidRPr="00133DC0">
              <w:rPr>
                <w:webHidden/>
              </w:rPr>
              <w:fldChar w:fldCharType="begin"/>
            </w:r>
            <w:r w:rsidR="00FA74A2" w:rsidRPr="00133DC0">
              <w:rPr>
                <w:webHidden/>
              </w:rPr>
              <w:instrText xml:space="preserve"> PAGEREF _Toc170819230 \h </w:instrText>
            </w:r>
            <w:r w:rsidR="00FA74A2" w:rsidRPr="00133DC0">
              <w:rPr>
                <w:webHidden/>
              </w:rPr>
            </w:r>
            <w:r w:rsidR="00FA74A2" w:rsidRPr="00133DC0">
              <w:rPr>
                <w:webHidden/>
              </w:rPr>
              <w:fldChar w:fldCharType="separate"/>
            </w:r>
            <w:r w:rsidR="00C42641">
              <w:rPr>
                <w:webHidden/>
              </w:rPr>
              <w:t>7</w:t>
            </w:r>
            <w:r w:rsidR="00FA74A2" w:rsidRPr="00133DC0">
              <w:rPr>
                <w:webHidden/>
              </w:rPr>
              <w:fldChar w:fldCharType="end"/>
            </w:r>
          </w:hyperlink>
        </w:p>
        <w:p w14:paraId="22098993" w14:textId="1490D537" w:rsidR="00FA74A2" w:rsidRPr="00133DC0" w:rsidRDefault="005C3464">
          <w:pPr>
            <w:pStyle w:val="Kazalovsebine2"/>
            <w:rPr>
              <w:rFonts w:asciiTheme="minorHAnsi" w:eastAsiaTheme="minorEastAsia" w:hAnsiTheme="minorHAnsi"/>
              <w:kern w:val="2"/>
              <w:sz w:val="22"/>
              <w:lang w:eastAsia="sl-SI"/>
              <w14:ligatures w14:val="standardContextual"/>
            </w:rPr>
          </w:pPr>
          <w:hyperlink w:anchor="_Toc170819231" w:history="1">
            <w:r w:rsidR="00FA74A2" w:rsidRPr="00133DC0">
              <w:rPr>
                <w:rStyle w:val="Hiperpovezava"/>
              </w:rPr>
              <w:t>2.2 Trgovina na debelo</w:t>
            </w:r>
            <w:r w:rsidR="00FA74A2" w:rsidRPr="00133DC0">
              <w:rPr>
                <w:webHidden/>
              </w:rPr>
              <w:tab/>
            </w:r>
            <w:r w:rsidR="00FA74A2" w:rsidRPr="00133DC0">
              <w:rPr>
                <w:webHidden/>
              </w:rPr>
              <w:fldChar w:fldCharType="begin"/>
            </w:r>
            <w:r w:rsidR="00FA74A2" w:rsidRPr="00133DC0">
              <w:rPr>
                <w:webHidden/>
              </w:rPr>
              <w:instrText xml:space="preserve"> PAGEREF _Toc170819231 \h </w:instrText>
            </w:r>
            <w:r w:rsidR="00FA74A2" w:rsidRPr="00133DC0">
              <w:rPr>
                <w:webHidden/>
              </w:rPr>
            </w:r>
            <w:r w:rsidR="00FA74A2" w:rsidRPr="00133DC0">
              <w:rPr>
                <w:webHidden/>
              </w:rPr>
              <w:fldChar w:fldCharType="separate"/>
            </w:r>
            <w:r w:rsidR="00C42641">
              <w:rPr>
                <w:webHidden/>
              </w:rPr>
              <w:t>8</w:t>
            </w:r>
            <w:r w:rsidR="00FA74A2" w:rsidRPr="00133DC0">
              <w:rPr>
                <w:webHidden/>
              </w:rPr>
              <w:fldChar w:fldCharType="end"/>
            </w:r>
          </w:hyperlink>
        </w:p>
        <w:p w14:paraId="62EF98C1" w14:textId="2D44F301" w:rsidR="00FA74A2" w:rsidRPr="00133DC0" w:rsidRDefault="005C3464">
          <w:pPr>
            <w:pStyle w:val="Kazalovsebine2"/>
            <w:rPr>
              <w:rFonts w:asciiTheme="minorHAnsi" w:eastAsiaTheme="minorEastAsia" w:hAnsiTheme="minorHAnsi"/>
              <w:kern w:val="2"/>
              <w:sz w:val="22"/>
              <w:lang w:eastAsia="sl-SI"/>
              <w14:ligatures w14:val="standardContextual"/>
            </w:rPr>
          </w:pPr>
          <w:hyperlink w:anchor="_Toc170819232" w:history="1">
            <w:r w:rsidR="00FA74A2" w:rsidRPr="00133DC0">
              <w:rPr>
                <w:rStyle w:val="Hiperpovezava"/>
              </w:rPr>
              <w:t>2.3 Trgovina na drobno</w:t>
            </w:r>
            <w:r w:rsidR="00FA74A2" w:rsidRPr="00133DC0">
              <w:rPr>
                <w:webHidden/>
              </w:rPr>
              <w:tab/>
            </w:r>
            <w:r w:rsidR="00FA74A2" w:rsidRPr="00133DC0">
              <w:rPr>
                <w:webHidden/>
              </w:rPr>
              <w:fldChar w:fldCharType="begin"/>
            </w:r>
            <w:r w:rsidR="00FA74A2" w:rsidRPr="00133DC0">
              <w:rPr>
                <w:webHidden/>
              </w:rPr>
              <w:instrText xml:space="preserve"> PAGEREF _Toc170819232 \h </w:instrText>
            </w:r>
            <w:r w:rsidR="00FA74A2" w:rsidRPr="00133DC0">
              <w:rPr>
                <w:webHidden/>
              </w:rPr>
            </w:r>
            <w:r w:rsidR="00FA74A2" w:rsidRPr="00133DC0">
              <w:rPr>
                <w:webHidden/>
              </w:rPr>
              <w:fldChar w:fldCharType="separate"/>
            </w:r>
            <w:r w:rsidR="00C42641">
              <w:rPr>
                <w:webHidden/>
              </w:rPr>
              <w:t>9</w:t>
            </w:r>
            <w:r w:rsidR="00FA74A2" w:rsidRPr="00133DC0">
              <w:rPr>
                <w:webHidden/>
              </w:rPr>
              <w:fldChar w:fldCharType="end"/>
            </w:r>
          </w:hyperlink>
        </w:p>
        <w:p w14:paraId="1CC4017A" w14:textId="3DBDA18D" w:rsidR="00FA74A2" w:rsidRPr="00133DC0" w:rsidRDefault="005C3464" w:rsidP="00FA74A2">
          <w:pPr>
            <w:pStyle w:val="Kazalovsebine1"/>
            <w:rPr>
              <w:b w:val="0"/>
              <w:bCs w:val="0"/>
            </w:rPr>
          </w:pPr>
          <w:hyperlink w:anchor="_Toc170819233" w:history="1">
            <w:r w:rsidR="00FA74A2" w:rsidRPr="00133DC0">
              <w:rPr>
                <w:rStyle w:val="Hiperpovezava"/>
                <w:rFonts w:cs="Arial"/>
                <w:b w:val="0"/>
                <w:bCs w:val="0"/>
              </w:rPr>
              <w:t>3</w:t>
            </w:r>
            <w:r w:rsidR="00FA74A2" w:rsidRPr="00133DC0">
              <w:rPr>
                <w:rFonts w:asciiTheme="minorHAnsi" w:eastAsiaTheme="minorEastAsia" w:hAnsiTheme="minorHAnsi" w:cstheme="minorBidi"/>
                <w:b w:val="0"/>
                <w:bCs w:val="0"/>
                <w:kern w:val="2"/>
                <w:sz w:val="22"/>
                <w:szCs w:val="22"/>
                <w:lang w:eastAsia="sl-SI"/>
                <w14:ligatures w14:val="standardContextual"/>
              </w:rPr>
              <w:tab/>
            </w:r>
            <w:r w:rsidR="00FA74A2" w:rsidRPr="00133DC0">
              <w:rPr>
                <w:rStyle w:val="Hiperpovezava"/>
                <w:rFonts w:cs="Arial"/>
                <w:b w:val="0"/>
                <w:bCs w:val="0"/>
              </w:rPr>
              <w:t>Zaključek</w:t>
            </w:r>
            <w:r w:rsidR="00FA74A2" w:rsidRPr="00133DC0">
              <w:rPr>
                <w:b w:val="0"/>
                <w:bCs w:val="0"/>
                <w:webHidden/>
              </w:rPr>
              <w:tab/>
            </w:r>
            <w:r w:rsidR="00FA74A2" w:rsidRPr="00133DC0">
              <w:rPr>
                <w:b w:val="0"/>
                <w:bCs w:val="0"/>
                <w:webHidden/>
              </w:rPr>
              <w:fldChar w:fldCharType="begin"/>
            </w:r>
            <w:r w:rsidR="00FA74A2" w:rsidRPr="00133DC0">
              <w:rPr>
                <w:b w:val="0"/>
                <w:bCs w:val="0"/>
                <w:webHidden/>
              </w:rPr>
              <w:instrText xml:space="preserve"> PAGEREF _Toc170819233 \h </w:instrText>
            </w:r>
            <w:r w:rsidR="00FA74A2" w:rsidRPr="00133DC0">
              <w:rPr>
                <w:b w:val="0"/>
                <w:bCs w:val="0"/>
                <w:webHidden/>
              </w:rPr>
            </w:r>
            <w:r w:rsidR="00FA74A2" w:rsidRPr="00133DC0">
              <w:rPr>
                <w:b w:val="0"/>
                <w:bCs w:val="0"/>
                <w:webHidden/>
              </w:rPr>
              <w:fldChar w:fldCharType="separate"/>
            </w:r>
            <w:r w:rsidR="00C42641">
              <w:rPr>
                <w:b w:val="0"/>
                <w:bCs w:val="0"/>
                <w:webHidden/>
              </w:rPr>
              <w:t>13</w:t>
            </w:r>
            <w:r w:rsidR="00FA74A2" w:rsidRPr="00133DC0">
              <w:rPr>
                <w:b w:val="0"/>
                <w:bCs w:val="0"/>
                <w:webHidden/>
              </w:rPr>
              <w:fldChar w:fldCharType="end"/>
            </w:r>
          </w:hyperlink>
        </w:p>
        <w:p w14:paraId="1A1D007F" w14:textId="77777777" w:rsidR="00C44361" w:rsidRPr="00133DC0" w:rsidRDefault="00C44361" w:rsidP="00C44361">
          <w:pPr>
            <w:pStyle w:val="BesediloUMAR"/>
            <w:rPr>
              <w:noProof/>
            </w:rPr>
          </w:pPr>
        </w:p>
        <w:p w14:paraId="2679653C" w14:textId="40E30147" w:rsidR="00FA74A2" w:rsidRPr="00133DC0" w:rsidRDefault="005C3464" w:rsidP="00C44361">
          <w:pPr>
            <w:pStyle w:val="Kazalovsebine3"/>
            <w:rPr>
              <w:rFonts w:asciiTheme="minorHAnsi" w:eastAsiaTheme="minorEastAsia" w:hAnsiTheme="minorHAnsi"/>
              <w:noProof/>
              <w:kern w:val="2"/>
              <w:sz w:val="22"/>
              <w:lang w:eastAsia="sl-SI"/>
              <w14:ligatures w14:val="standardContextual"/>
            </w:rPr>
          </w:pPr>
          <w:hyperlink w:anchor="_Toc170819234" w:history="1">
            <w:r w:rsidR="00FA74A2" w:rsidRPr="00133DC0">
              <w:rPr>
                <w:rStyle w:val="Hiperpovezava"/>
                <w:noProof/>
              </w:rPr>
              <w:t>Literatura in viri</w:t>
            </w:r>
            <w:r w:rsidR="00FA74A2" w:rsidRPr="00133DC0">
              <w:rPr>
                <w:noProof/>
                <w:webHidden/>
              </w:rPr>
              <w:tab/>
            </w:r>
            <w:r w:rsidR="00FA74A2" w:rsidRPr="00133DC0">
              <w:rPr>
                <w:noProof/>
                <w:webHidden/>
              </w:rPr>
              <w:fldChar w:fldCharType="begin"/>
            </w:r>
            <w:r w:rsidR="00FA74A2" w:rsidRPr="00133DC0">
              <w:rPr>
                <w:noProof/>
                <w:webHidden/>
              </w:rPr>
              <w:instrText xml:space="preserve"> PAGEREF _Toc170819234 \h </w:instrText>
            </w:r>
            <w:r w:rsidR="00FA74A2" w:rsidRPr="00133DC0">
              <w:rPr>
                <w:noProof/>
                <w:webHidden/>
              </w:rPr>
            </w:r>
            <w:r w:rsidR="00FA74A2" w:rsidRPr="00133DC0">
              <w:rPr>
                <w:noProof/>
                <w:webHidden/>
              </w:rPr>
              <w:fldChar w:fldCharType="separate"/>
            </w:r>
            <w:r w:rsidR="00C42641">
              <w:rPr>
                <w:noProof/>
                <w:webHidden/>
              </w:rPr>
              <w:t>14</w:t>
            </w:r>
            <w:r w:rsidR="00FA74A2" w:rsidRPr="00133DC0">
              <w:rPr>
                <w:noProof/>
                <w:webHidden/>
              </w:rPr>
              <w:fldChar w:fldCharType="end"/>
            </w:r>
          </w:hyperlink>
        </w:p>
        <w:p w14:paraId="1A2D8651" w14:textId="25822EB8" w:rsidR="00FA74A2" w:rsidRPr="00133DC0" w:rsidRDefault="005C3464" w:rsidP="00C44361">
          <w:pPr>
            <w:pStyle w:val="Kazalovsebine3"/>
            <w:rPr>
              <w:rFonts w:asciiTheme="minorHAnsi" w:eastAsiaTheme="minorEastAsia" w:hAnsiTheme="minorHAnsi"/>
              <w:noProof/>
              <w:kern w:val="2"/>
              <w:sz w:val="22"/>
              <w:lang w:eastAsia="sl-SI"/>
              <w14:ligatures w14:val="standardContextual"/>
            </w:rPr>
          </w:pPr>
          <w:hyperlink w:anchor="_Toc170819235" w:history="1">
            <w:r w:rsidR="00FA74A2" w:rsidRPr="00133DC0">
              <w:rPr>
                <w:rStyle w:val="Hiperpovezava"/>
                <w:noProof/>
              </w:rPr>
              <w:t>Priloga: Opredelitev kazalnikov, uporabljenih v analizi poslovanja gospodarskih družb</w:t>
            </w:r>
            <w:r w:rsidR="00FA74A2" w:rsidRPr="00133DC0">
              <w:rPr>
                <w:noProof/>
                <w:webHidden/>
              </w:rPr>
              <w:tab/>
            </w:r>
            <w:r w:rsidR="00FA74A2" w:rsidRPr="00133DC0">
              <w:rPr>
                <w:noProof/>
                <w:webHidden/>
              </w:rPr>
              <w:fldChar w:fldCharType="begin"/>
            </w:r>
            <w:r w:rsidR="00FA74A2" w:rsidRPr="00133DC0">
              <w:rPr>
                <w:noProof/>
                <w:webHidden/>
              </w:rPr>
              <w:instrText xml:space="preserve"> PAGEREF _Toc170819235 \h </w:instrText>
            </w:r>
            <w:r w:rsidR="00FA74A2" w:rsidRPr="00133DC0">
              <w:rPr>
                <w:noProof/>
                <w:webHidden/>
              </w:rPr>
            </w:r>
            <w:r w:rsidR="00FA74A2" w:rsidRPr="00133DC0">
              <w:rPr>
                <w:noProof/>
                <w:webHidden/>
              </w:rPr>
              <w:fldChar w:fldCharType="separate"/>
            </w:r>
            <w:r w:rsidR="00C42641">
              <w:rPr>
                <w:noProof/>
                <w:webHidden/>
              </w:rPr>
              <w:t>15</w:t>
            </w:r>
            <w:r w:rsidR="00FA74A2" w:rsidRPr="00133DC0">
              <w:rPr>
                <w:noProof/>
                <w:webHidden/>
              </w:rPr>
              <w:fldChar w:fldCharType="end"/>
            </w:r>
          </w:hyperlink>
        </w:p>
        <w:p w14:paraId="0FA57F99" w14:textId="12999C1E" w:rsidR="00AB5854" w:rsidRPr="00AB5854" w:rsidRDefault="00AB5854" w:rsidP="00C44361">
          <w:pPr>
            <w:pStyle w:val="Kazalovsebine3"/>
            <w:rPr>
              <w:rFonts w:asciiTheme="minorHAnsi" w:eastAsiaTheme="minorEastAsia" w:hAnsiTheme="minorHAnsi"/>
              <w:noProof/>
              <w:kern w:val="2"/>
              <w:sz w:val="22"/>
              <w:lang w:eastAsia="sl-SI"/>
              <w14:ligatures w14:val="standardContextual"/>
            </w:rPr>
          </w:pPr>
          <w:r w:rsidRPr="00133DC0">
            <w:fldChar w:fldCharType="end"/>
          </w:r>
        </w:p>
      </w:sdtContent>
    </w:sdt>
    <w:p w14:paraId="5B1CD37E" w14:textId="77777777" w:rsidR="00AB5854" w:rsidRDefault="00AB5854" w:rsidP="00407C0D">
      <w:pPr>
        <w:pStyle w:val="BesediloUMAR"/>
      </w:pPr>
    </w:p>
    <w:p w14:paraId="76109FCE" w14:textId="77777777" w:rsidR="00C44361" w:rsidRDefault="00C44361" w:rsidP="00407C0D">
      <w:pPr>
        <w:pStyle w:val="BesediloUMAR"/>
        <w:sectPr w:rsidR="00C44361" w:rsidSect="00DA3486">
          <w:headerReference w:type="default" r:id="rId11"/>
          <w:pgSz w:w="11906" w:h="16838"/>
          <w:pgMar w:top="1701" w:right="1418" w:bottom="1418" w:left="1418" w:header="567" w:footer="1134" w:gutter="0"/>
          <w:pgNumType w:start="1"/>
          <w:cols w:space="708"/>
          <w:docGrid w:linePitch="360"/>
        </w:sectPr>
      </w:pPr>
    </w:p>
    <w:p w14:paraId="080AC5AC" w14:textId="490D920C" w:rsidR="00C44361" w:rsidRPr="007C6DF6" w:rsidRDefault="00C44361" w:rsidP="008640CB">
      <w:pPr>
        <w:pStyle w:val="Naslov1"/>
        <w:numPr>
          <w:ilvl w:val="0"/>
          <w:numId w:val="0"/>
        </w:numPr>
        <w:spacing w:before="0" w:after="240"/>
        <w:ind w:left="357" w:hanging="357"/>
        <w:rPr>
          <w:b w:val="0"/>
        </w:rPr>
      </w:pPr>
      <w:bookmarkStart w:id="11" w:name="_Toc170819227"/>
      <w:r w:rsidRPr="00471713">
        <w:lastRenderedPageBreak/>
        <w:t>Povzetek</w:t>
      </w:r>
      <w:bookmarkEnd w:id="11"/>
    </w:p>
    <w:p w14:paraId="204E1B72" w14:textId="77777777" w:rsidR="00C44361" w:rsidRPr="00127982" w:rsidRDefault="00C44361" w:rsidP="00C44361">
      <w:pPr>
        <w:pStyle w:val="BesediloUMAR"/>
        <w:rPr>
          <w:b/>
        </w:rPr>
      </w:pPr>
      <w:r w:rsidRPr="00127982">
        <w:rPr>
          <w:b/>
        </w:rPr>
        <w:t>V kratk</w:t>
      </w:r>
      <w:r>
        <w:rPr>
          <w:b/>
        </w:rPr>
        <w:t xml:space="preserve">i </w:t>
      </w:r>
      <w:r w:rsidRPr="00127982">
        <w:rPr>
          <w:b/>
        </w:rPr>
        <w:t xml:space="preserve">analizi proučimo statistične podatke iz bilanc stanja in izkaza poslovnega izida gospodarskih družb v dejavnosti trgovina ter vzdrževanje in popravila motornih vozil (G), ki po deležu dodane vrednosti, neto čistega dobička in števila zaposlenih v celotni vrednosti vseh gospodarskih družb spada med največje dejavnosti slovenskega gospodarstva. Te družbe </w:t>
      </w:r>
      <w:r>
        <w:rPr>
          <w:b/>
        </w:rPr>
        <w:t xml:space="preserve">sicer </w:t>
      </w:r>
      <w:r w:rsidRPr="00127982">
        <w:rPr>
          <w:b/>
        </w:rPr>
        <w:t>ustvarijo okoli 80 % dodane vrednosti celotne dejavnosti trgovine (ostalo drugi poslovni subjekti). Zanimajo nas glavne značilnosti poslovanja in njihovega premoženjsko-finančnega položaja. Analiza zajema obdobje po letu 2008, z glavnim poudarkom na poslovanju v letu 2023.</w:t>
      </w:r>
    </w:p>
    <w:p w14:paraId="6F7FB496" w14:textId="77777777" w:rsidR="00C44361" w:rsidRPr="00127982" w:rsidRDefault="00C44361" w:rsidP="00C44361">
      <w:pPr>
        <w:pStyle w:val="BesediloUMAR"/>
        <w:rPr>
          <w:b/>
        </w:rPr>
      </w:pPr>
    </w:p>
    <w:p w14:paraId="113FC5F9" w14:textId="77777777" w:rsidR="00C44361" w:rsidRPr="00347CAB" w:rsidRDefault="00C44361" w:rsidP="00C44361">
      <w:pPr>
        <w:pStyle w:val="BesediloUMAR"/>
        <w:rPr>
          <w:b/>
        </w:rPr>
      </w:pPr>
      <w:bookmarkStart w:id="12" w:name="_Hlk170979523"/>
      <w:r w:rsidRPr="00347CAB">
        <w:rPr>
          <w:b/>
        </w:rPr>
        <w:t>Poslovanje gospodarskih družb trgovine ter vzdrževanja in popravil motornih vozil (G) so v zadnjih letih močno zaznamovali najprej epidemija ter nato energetska in splošna draginja. Trgovske gospodarske družbe so po letu 2013, ko so ustvarile nekaj izgube, v nadaljnjih letih poslovale pozitivno. Neto čisti dobiček se je po podvojitvi v letu 2021 v letu 2022 nekoliko zmanjšal, v letu 2023 pa ponovno povečal, a bil nižji od rekordnega iz leta 2021. Tretje leto zapored se je nadaljevala rast dodane vrednosti, produktivnosti in dobička v družbah trgovine z motornimi vozili. Rast dodane vrednosti in produktivnosti se je nadaljevala tudi v družbah trgovine na debelo, ki pa so ob poslabšanju finančnega poslovanja leto 2023 zaključile s podobnim neto čistim dobičkom kot leta 2021. Poslovanje družb v trgovini na drobno se je, po enoletnem poslabšanju, v letu 2023 izboljšalo, a ni doseglo rezultatov iz leta 2021, ko se je pod vplivom visoke rasti trošenja gospodinjstev skokovito povečalo. Ob umiritvi rasti trošenja v razmerah draginje in povečane previdnosti gospodinjstev</w:t>
      </w:r>
      <w:r>
        <w:rPr>
          <w:b/>
        </w:rPr>
        <w:t xml:space="preserve"> ter</w:t>
      </w:r>
      <w:r w:rsidRPr="00347CAB">
        <w:rPr>
          <w:b/>
        </w:rPr>
        <w:t xml:space="preserve"> nadaljnji rasti nabavne vrednosti stroškov blaga, materiala in storitev je bil neto čisti dobiček družb trgovine na drobno v nespecializiranih prodajalnah, v katerih prevladujejo hipermarketi, marketi in diskonti, po prepolovitvi v letu 2022 </w:t>
      </w:r>
      <w:r>
        <w:rPr>
          <w:b/>
        </w:rPr>
        <w:t xml:space="preserve">lani </w:t>
      </w:r>
      <w:r w:rsidRPr="00347CAB">
        <w:rPr>
          <w:b/>
        </w:rPr>
        <w:t xml:space="preserve">nižji še za skoraj petino. Omenjenim družbam se je v letu 2023 poslabšala tudi gospodarnost poslovanja, prav tako pa se je zmanjšal presežek prihodkov od prodaje nad stroški blaga, materiala, storitev in dela. Nasprotno se je po izrazitem (92 %) zmanjšanju neto čistega dobička v letu 2022, na kar so vplivale tudi visoke nabavne cene energentov ob vladni regulaciji cen goriv, električne energije in zemeljskega plina, poslovanje družb trgovine na drobno v specializiranih prodajalnah z motornimi gorivi v letu 2023 močneje izboljšalo. Ob umirjanju nabavnih cen se je v letu 2023 neto čisti dobiček povečal na najvišjo vrednost celotnega opazovanega obdobja, izboljšala se je tudi gospodarnost poslovanja </w:t>
      </w:r>
      <w:r>
        <w:rPr>
          <w:b/>
        </w:rPr>
        <w:t>ter</w:t>
      </w:r>
      <w:r w:rsidRPr="00347CAB">
        <w:rPr>
          <w:b/>
        </w:rPr>
        <w:t xml:space="preserve"> povečal presežek prihodkov od prodaje nad stroški blaga, materiala, storitev in dela, ki pa je ostal precej nižji od doslej najvišjega iz leta 2019.</w:t>
      </w:r>
    </w:p>
    <w:p w14:paraId="569A8F16" w14:textId="77777777" w:rsidR="00C44361" w:rsidRPr="00EA1F0B" w:rsidRDefault="00C44361" w:rsidP="00C44361">
      <w:pPr>
        <w:pStyle w:val="BesediloUMAR"/>
        <w:rPr>
          <w:b/>
          <w:bCs/>
        </w:rPr>
      </w:pPr>
    </w:p>
    <w:bookmarkEnd w:id="12"/>
    <w:p w14:paraId="02703096" w14:textId="77777777" w:rsidR="00C44361" w:rsidRDefault="00C44361" w:rsidP="00C44361">
      <w:pPr>
        <w:pStyle w:val="BesediloUMAR"/>
      </w:pPr>
    </w:p>
    <w:p w14:paraId="546B98B7" w14:textId="2504AC0E" w:rsidR="00B40616" w:rsidRDefault="00B40616">
      <w:pPr>
        <w:spacing w:after="0" w:line="240" w:lineRule="auto"/>
        <w:rPr>
          <w:rFonts w:ascii="Myriad Pro" w:hAnsi="Myriad Pro"/>
          <w:sz w:val="20"/>
        </w:rPr>
      </w:pPr>
    </w:p>
    <w:p w14:paraId="5C8295E7" w14:textId="55631A78" w:rsidR="00481B30" w:rsidRDefault="00127982" w:rsidP="007C6DF6">
      <w:pPr>
        <w:pStyle w:val="Naslov1"/>
        <w:numPr>
          <w:ilvl w:val="0"/>
          <w:numId w:val="5"/>
        </w:numPr>
        <w:spacing w:after="240"/>
        <w:ind w:left="357" w:hanging="357"/>
      </w:pPr>
      <w:bookmarkStart w:id="13" w:name="_Toc170819228"/>
      <w:bookmarkEnd w:id="4"/>
      <w:bookmarkEnd w:id="5"/>
      <w:bookmarkEnd w:id="6"/>
      <w:r>
        <w:lastRenderedPageBreak/>
        <w:t>Uvod</w:t>
      </w:r>
      <w:bookmarkEnd w:id="13"/>
    </w:p>
    <w:p w14:paraId="24EAE4B3" w14:textId="538DBDD5" w:rsidR="00127982" w:rsidRDefault="00127982" w:rsidP="00127982">
      <w:pPr>
        <w:pStyle w:val="BesediloUMAR"/>
      </w:pPr>
      <w:r>
        <w:t xml:space="preserve">Podatki </w:t>
      </w:r>
      <w:r w:rsidRPr="006C15DE">
        <w:t>iz bilance stanja in izkaza poslovnega izida gospodarskih družb</w:t>
      </w:r>
      <w:r w:rsidRPr="00C02438">
        <w:rPr>
          <w:vertAlign w:val="superscript"/>
        </w:rPr>
        <w:footnoteReference w:id="2"/>
      </w:r>
      <w:r>
        <w:t xml:space="preserve"> omogočajo hitrejše (kot npr. strukturne statistike podjetij) oz</w:t>
      </w:r>
      <w:r w:rsidR="00A32614">
        <w:t>iroma</w:t>
      </w:r>
      <w:r>
        <w:t xml:space="preserve"> podrobnejše (kot npr. nacionalni računi) spremljanje gibanj v trgovinski dejavnosti. </w:t>
      </w:r>
      <w:r w:rsidRPr="006C15DE">
        <w:t>Uporabljeni podatki za razliko od strukturnih statistik ali nacionalnih računov ne vključujejo rezultatov vseh poslovnih subjektov (poleg gospodarskih družb so to še samostojni podjetniki, zadruge, društva, pravne osebe zasebnega in javnega prava)</w:t>
      </w:r>
      <w:r>
        <w:t xml:space="preserve">, kljub temu pa z </w:t>
      </w:r>
      <w:r w:rsidRPr="006C15DE">
        <w:t xml:space="preserve">analizo podatkov o poslovanju gospodarskih družb zajamemo </w:t>
      </w:r>
      <w:r>
        <w:t>kar okoli 80 %</w:t>
      </w:r>
      <w:r w:rsidRPr="006C15DE">
        <w:t xml:space="preserve"> dodane vrednosti celotne</w:t>
      </w:r>
      <w:r>
        <w:t xml:space="preserve"> trgovske dejavnosti.</w:t>
      </w:r>
      <w:r w:rsidRPr="006C15DE">
        <w:t xml:space="preserve"> </w:t>
      </w:r>
    </w:p>
    <w:p w14:paraId="62547A1F" w14:textId="77777777" w:rsidR="00127982" w:rsidRPr="006C15DE" w:rsidRDefault="00127982" w:rsidP="00127982">
      <w:pPr>
        <w:pStyle w:val="BesediloUMAR"/>
      </w:pPr>
    </w:p>
    <w:p w14:paraId="648DBE7C" w14:textId="530AC5F0" w:rsidR="00481B30" w:rsidRDefault="00127982" w:rsidP="009D6F28">
      <w:pPr>
        <w:pStyle w:val="BesediloUMAR"/>
      </w:pPr>
      <w:r w:rsidRPr="006C15DE">
        <w:t xml:space="preserve">V </w:t>
      </w:r>
      <w:r>
        <w:t xml:space="preserve">kratki analizi proučujemo </w:t>
      </w:r>
      <w:r w:rsidRPr="006C15DE">
        <w:t xml:space="preserve">statistične podatke </w:t>
      </w:r>
      <w:r>
        <w:t xml:space="preserve">iz bilanc stanja in izkaza poslovnega izida gospodarskih družb v dejavnosti trgovina ter popravila in vzdrževanje motornih vozil, </w:t>
      </w:r>
      <w:r w:rsidRPr="003E627F">
        <w:t>ki po deležu dodan</w:t>
      </w:r>
      <w:r>
        <w:t>e</w:t>
      </w:r>
      <w:r w:rsidRPr="003E627F">
        <w:t xml:space="preserve"> vrednosti, neto čiste</w:t>
      </w:r>
      <w:r>
        <w:t>ga</w:t>
      </w:r>
      <w:r w:rsidRPr="003E627F">
        <w:t xml:space="preserve"> dobičk</w:t>
      </w:r>
      <w:r>
        <w:t>a</w:t>
      </w:r>
      <w:r w:rsidRPr="003E627F">
        <w:t xml:space="preserve"> in števil</w:t>
      </w:r>
      <w:r>
        <w:t>a</w:t>
      </w:r>
      <w:r w:rsidRPr="003E627F">
        <w:t xml:space="preserve"> zaposlenih </w:t>
      </w:r>
      <w:r>
        <w:t xml:space="preserve">v celotni vrednosti </w:t>
      </w:r>
      <w:r w:rsidRPr="003E627F">
        <w:t>spada med največje dejavnosti</w:t>
      </w:r>
      <w:r>
        <w:t xml:space="preserve"> slovenskega gospodarstva</w:t>
      </w:r>
      <w:r w:rsidRPr="003E627F">
        <w:t xml:space="preserve">. </w:t>
      </w:r>
      <w:r w:rsidRPr="005E3C02">
        <w:t>Po vseh omenjenih kazalnikih je dejavnost trgovine takoj za predelovalnimi dejavnostmi, po številu družb pa je največja.</w:t>
      </w:r>
      <w:r>
        <w:t xml:space="preserve"> </w:t>
      </w:r>
      <w:r w:rsidRPr="003E627F">
        <w:t>Z</w:t>
      </w:r>
      <w:r w:rsidRPr="006C15DE">
        <w:t xml:space="preserve">animajo nas glavne značilnosti poslovanja in </w:t>
      </w:r>
      <w:r>
        <w:t xml:space="preserve">njihov </w:t>
      </w:r>
      <w:r w:rsidRPr="006C15DE">
        <w:t>premoženjsko-finančn</w:t>
      </w:r>
      <w:r>
        <w:t>i</w:t>
      </w:r>
      <w:r w:rsidRPr="006C15DE">
        <w:t xml:space="preserve"> položaj</w:t>
      </w:r>
      <w:r>
        <w:t>.</w:t>
      </w:r>
      <w:r w:rsidRPr="00962421">
        <w:t xml:space="preserve"> </w:t>
      </w:r>
      <w:r w:rsidRPr="006C15DE">
        <w:t xml:space="preserve">Zaradi spremembe Standardne klasifikacije dejavnosti z letom 2008 v </w:t>
      </w:r>
      <w:r>
        <w:t>kratki analizi</w:t>
      </w:r>
      <w:r w:rsidRPr="006C15DE">
        <w:t xml:space="preserve"> večinoma analiziramo obdobje po tem letu</w:t>
      </w:r>
      <w:r>
        <w:t xml:space="preserve">, </w:t>
      </w:r>
      <w:r w:rsidRPr="006C15DE">
        <w:t xml:space="preserve">pri čemer je glavni poudarek na analizi </w:t>
      </w:r>
      <w:r w:rsidRPr="005204B1">
        <w:t xml:space="preserve">poslovanja </w:t>
      </w:r>
      <w:r w:rsidRPr="00912C97">
        <w:t>v</w:t>
      </w:r>
      <w:r w:rsidR="005204B1" w:rsidRPr="00912C97">
        <w:t xml:space="preserve"> lanskem</w:t>
      </w:r>
      <w:r w:rsidRPr="00912C97">
        <w:t xml:space="preserve"> letu, tj. letu 2023.</w:t>
      </w:r>
      <w:r w:rsidRPr="005204B1">
        <w:t xml:space="preserve"> Podatki za vsako od analiziranih let vključujejo gospodarske družbe, ki so v tistem letu dejansko</w:t>
      </w:r>
      <w:r w:rsidRPr="006C15DE">
        <w:t xml:space="preserve"> poslovale.</w:t>
      </w:r>
      <w:r w:rsidRPr="00962421">
        <w:t xml:space="preserve"> </w:t>
      </w:r>
      <w:r w:rsidRPr="006C15DE">
        <w:t>Vse kategorije primerjamo v tekočih cenah</w:t>
      </w:r>
      <w:r>
        <w:t>, veliko primerjav je predstavljenih tudi grafično</w:t>
      </w:r>
      <w:r w:rsidRPr="006C15DE">
        <w:t>.</w:t>
      </w:r>
      <w:r>
        <w:t xml:space="preserve"> </w:t>
      </w:r>
    </w:p>
    <w:p w14:paraId="1AC11FA1" w14:textId="77777777" w:rsidR="00127982" w:rsidRDefault="00127982" w:rsidP="009D6F28">
      <w:pPr>
        <w:pStyle w:val="BesediloUMAR"/>
      </w:pPr>
    </w:p>
    <w:p w14:paraId="7E461E0A" w14:textId="77777777" w:rsidR="00127982" w:rsidRPr="00127982" w:rsidRDefault="00127982" w:rsidP="007C6DF6">
      <w:pPr>
        <w:keepNext/>
        <w:keepLines/>
        <w:pageBreakBefore/>
        <w:numPr>
          <w:ilvl w:val="0"/>
          <w:numId w:val="2"/>
        </w:numPr>
        <w:spacing w:before="200" w:after="240" w:line="288" w:lineRule="auto"/>
        <w:ind w:left="357" w:hanging="357"/>
        <w:outlineLvl w:val="0"/>
        <w:rPr>
          <w:rFonts w:ascii="Myriad Pro" w:hAnsi="Myriad Pro" w:cs="Arial"/>
          <w:b/>
          <w:bCs/>
          <w:color w:val="9E001A" w:themeColor="accent1"/>
          <w:kern w:val="32"/>
          <w:sz w:val="28"/>
        </w:rPr>
      </w:pPr>
      <w:bookmarkStart w:id="14" w:name="_Toc170819229"/>
      <w:r w:rsidRPr="00127982">
        <w:rPr>
          <w:rFonts w:ascii="Myriad Pro" w:hAnsi="Myriad Pro" w:cs="Arial"/>
          <w:b/>
          <w:bCs/>
          <w:color w:val="9E001A" w:themeColor="accent1"/>
          <w:kern w:val="32"/>
          <w:sz w:val="28"/>
        </w:rPr>
        <w:lastRenderedPageBreak/>
        <w:t>Poslovanje trgovskih gospodarskih družb</w:t>
      </w:r>
      <w:bookmarkEnd w:id="14"/>
      <w:r w:rsidRPr="00127982">
        <w:rPr>
          <w:rFonts w:ascii="Myriad Pro" w:hAnsi="Myriad Pro" w:cs="Arial"/>
          <w:b/>
          <w:bCs/>
          <w:color w:val="9E001A" w:themeColor="accent1"/>
          <w:kern w:val="32"/>
          <w:sz w:val="28"/>
        </w:rPr>
        <w:t xml:space="preserve"> </w:t>
      </w:r>
    </w:p>
    <w:p w14:paraId="69851739" w14:textId="7A105BF9" w:rsidR="00127982" w:rsidRPr="001554D4" w:rsidRDefault="00127982" w:rsidP="00127982">
      <w:pPr>
        <w:pStyle w:val="BesediloUMAR"/>
      </w:pPr>
      <w:r>
        <w:rPr>
          <w:rStyle w:val="BoldpoudarekUMAR"/>
        </w:rPr>
        <w:t>Dejavnost trgovine</w:t>
      </w:r>
      <w:r w:rsidRPr="00A84F47">
        <w:rPr>
          <w:rStyle w:val="BoldpoudarekUMAR"/>
        </w:rPr>
        <w:t xml:space="preserve"> po dodani vrednosti</w:t>
      </w:r>
      <w:r>
        <w:rPr>
          <w:rStyle w:val="BoldpoudarekUMAR"/>
        </w:rPr>
        <w:t xml:space="preserve"> in</w:t>
      </w:r>
      <w:r w:rsidRPr="00A84F47">
        <w:rPr>
          <w:rStyle w:val="BoldpoudarekUMAR"/>
        </w:rPr>
        <w:t xml:space="preserve"> neto čistem dobičku</w:t>
      </w:r>
      <w:r>
        <w:rPr>
          <w:rStyle w:val="BoldpoudarekUMAR"/>
        </w:rPr>
        <w:t xml:space="preserve"> gospodarskih družb</w:t>
      </w:r>
      <w:r w:rsidRPr="00A84F47">
        <w:rPr>
          <w:rStyle w:val="BoldpoudarekUMAR"/>
        </w:rPr>
        <w:t xml:space="preserve"> </w:t>
      </w:r>
      <w:r>
        <w:rPr>
          <w:rStyle w:val="BoldpoudarekUMAR"/>
        </w:rPr>
        <w:t>ter</w:t>
      </w:r>
      <w:r w:rsidRPr="00A84F47">
        <w:rPr>
          <w:rStyle w:val="BoldpoudarekUMAR"/>
        </w:rPr>
        <w:t xml:space="preserve"> številu zaposlenih spada med največje dejavnosti</w:t>
      </w:r>
      <w:r>
        <w:rPr>
          <w:rStyle w:val="BoldpoudarekUMAR"/>
        </w:rPr>
        <w:t xml:space="preserve"> slovenskega gospodarstva</w:t>
      </w:r>
      <w:r w:rsidRPr="00A84F47">
        <w:rPr>
          <w:rStyle w:val="BoldpoudarekUMAR"/>
        </w:rPr>
        <w:t>.</w:t>
      </w:r>
      <w:r w:rsidRPr="003E627F">
        <w:t xml:space="preserve"> </w:t>
      </w:r>
      <w:r w:rsidRPr="008703F8">
        <w:t xml:space="preserve">Po vseh omenjenih kazalnikih je dejavnost </w:t>
      </w:r>
      <w:r w:rsidRPr="008703F8">
        <w:rPr>
          <w:rStyle w:val="VodilnistavekUMAR"/>
          <w:b w:val="0"/>
        </w:rPr>
        <w:t xml:space="preserve">trgovina, vzdrževanje in popravila motornih vozil (G) </w:t>
      </w:r>
      <w:r w:rsidRPr="008703F8">
        <w:t xml:space="preserve">takoj za predelovalnimi dejavnostmi, po številu družb pa je največja. Trgovske družbe po vseh kazalnikih predstavljajo </w:t>
      </w:r>
      <w:r w:rsidR="00E61CFB">
        <w:t>skoraj</w:t>
      </w:r>
      <w:r w:rsidRPr="008703F8">
        <w:t xml:space="preserve"> petino celotne vrednosti vseh gospodarskih družb.</w:t>
      </w:r>
      <w:r>
        <w:t xml:space="preserve"> Trgovska dejavnost je razdeljena na več panog, glavni trije oddelki so: trgovina </w:t>
      </w:r>
      <w:r>
        <w:br/>
        <w:t xml:space="preserve">z motornimi vozili in </w:t>
      </w:r>
      <w:r w:rsidR="00B651B5">
        <w:t xml:space="preserve">njihovimi </w:t>
      </w:r>
      <w:r>
        <w:t xml:space="preserve">popravili (G45), ki je najmanjša trgovska dejavnost; trgovina na debelo, razen z motornimi vozili (G46), ki je največja dejavnost po deležu dodane vrednosti, in trgovina na drobno, razen z motornimi vozili (G47), ki je največja dejavnost po številu zaposlenih. </w:t>
      </w:r>
    </w:p>
    <w:p w14:paraId="31D8D1E8" w14:textId="77777777" w:rsidR="00127982" w:rsidRPr="00355D96" w:rsidRDefault="00127982" w:rsidP="00127982">
      <w:pPr>
        <w:pStyle w:val="Napis"/>
        <w:rPr>
          <w:rStyle w:val="DZBesediloChar"/>
          <w:szCs w:val="20"/>
        </w:rPr>
      </w:pPr>
      <w:r w:rsidRPr="00355D96">
        <w:t xml:space="preserve">Slika </w:t>
      </w:r>
      <w:r w:rsidRPr="00355D96">
        <w:fldChar w:fldCharType="begin"/>
      </w:r>
      <w:r w:rsidRPr="00355D96">
        <w:instrText xml:space="preserve"> SEQ Slika \* ARABIC </w:instrText>
      </w:r>
      <w:r w:rsidRPr="00355D96">
        <w:fldChar w:fldCharType="separate"/>
      </w:r>
      <w:r w:rsidRPr="00355D96">
        <w:t>1</w:t>
      </w:r>
      <w:r w:rsidRPr="00355D96">
        <w:fldChar w:fldCharType="end"/>
      </w:r>
      <w:r w:rsidRPr="00355D96">
        <w:rPr>
          <w:rStyle w:val="DZBesediloChar"/>
          <w:szCs w:val="20"/>
        </w:rPr>
        <w:t xml:space="preserve">: </w:t>
      </w:r>
      <w:r>
        <w:rPr>
          <w:rStyle w:val="DZBesediloChar"/>
          <w:szCs w:val="20"/>
        </w:rPr>
        <w:t xml:space="preserve">Po deležu v dodani vrednosti je največji oddelek </w:t>
      </w:r>
      <w:r w:rsidRPr="0096000C">
        <w:rPr>
          <w:rStyle w:val="DZBesediloChar"/>
          <w:szCs w:val="20"/>
        </w:rPr>
        <w:t>trgovina na debelo</w:t>
      </w:r>
      <w:r>
        <w:rPr>
          <w:rStyle w:val="DZBesediloChar"/>
          <w:szCs w:val="20"/>
        </w:rPr>
        <w:t>, znotraj katerega je več panog precej enakovrednih</w:t>
      </w:r>
      <w:r w:rsidRPr="0096000C">
        <w:rPr>
          <w:rStyle w:val="DZBesediloChar"/>
          <w:szCs w:val="20"/>
        </w:rPr>
        <w:t xml:space="preserve"> </w:t>
      </w:r>
    </w:p>
    <w:p w14:paraId="65F96FD8" w14:textId="3D0FA103" w:rsidR="00127982" w:rsidRPr="005732E6" w:rsidRDefault="00554CDE" w:rsidP="00127982">
      <w:pPr>
        <w:pStyle w:val="Napis"/>
      </w:pPr>
      <w:r w:rsidRPr="00554CDE">
        <w:drawing>
          <wp:inline distT="0" distB="0" distL="0" distR="0" wp14:anchorId="1B4F5705" wp14:editId="209E844D">
            <wp:extent cx="5759450" cy="23558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2355850"/>
                    </a:xfrm>
                    <a:prstGeom prst="rect">
                      <a:avLst/>
                    </a:prstGeom>
                    <a:noFill/>
                    <a:ln>
                      <a:noFill/>
                    </a:ln>
                  </pic:spPr>
                </pic:pic>
              </a:graphicData>
            </a:graphic>
          </wp:inline>
        </w:drawing>
      </w:r>
    </w:p>
    <w:p w14:paraId="2D44A502" w14:textId="2563F061" w:rsidR="00127982" w:rsidRDefault="00127982" w:rsidP="00127982">
      <w:pPr>
        <w:pStyle w:val="VirUMAR"/>
      </w:pPr>
      <w:bookmarkStart w:id="15" w:name="_Hlk109132995"/>
      <w:r w:rsidRPr="008F6BED">
        <w:t xml:space="preserve">Vir podatkov: </w:t>
      </w:r>
      <w:r>
        <w:fldChar w:fldCharType="begin"/>
      </w:r>
      <w:r w:rsidR="00317ED8">
        <w:instrText xml:space="preserve"> ADDIN ZOTERO_ITEM CSL_CITATION {"citationID":"bhUcFKyC","properties":{"formattedCitation":"(AJPES, 2024)","plainCitation":"(AJPES, 2024)","noteIndex":0},"citationItems":[{"id":3,"uris":["http://zotero.org/users/8372339/items/IC2SCV5C",["http://zotero.org/users/8372339/items/IC2SCV5C"]],"itemData":{"id":3,"type":"report","event-place":"Ljubljana","publisher":"Agencija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fldChar w:fldCharType="separate"/>
      </w:r>
      <w:r w:rsidR="00317ED8" w:rsidRPr="00317ED8">
        <w:t xml:space="preserve">AJPES </w:t>
      </w:r>
      <w:r w:rsidR="00317ED8">
        <w:t>(</w:t>
      </w:r>
      <w:r w:rsidR="00317ED8" w:rsidRPr="00317ED8">
        <w:t>2024)</w:t>
      </w:r>
      <w:r>
        <w:fldChar w:fldCharType="end"/>
      </w:r>
      <w:r w:rsidRPr="008F6BED">
        <w:t>, lastni izračuni.</w:t>
      </w:r>
      <w:bookmarkEnd w:id="15"/>
    </w:p>
    <w:p w14:paraId="3D7B1B03" w14:textId="77777777" w:rsidR="00127982" w:rsidRDefault="00127982" w:rsidP="00127982">
      <w:pPr>
        <w:pStyle w:val="BesediloUMAR"/>
        <w:rPr>
          <w:rStyle w:val="VodilnistavekUMAR"/>
        </w:rPr>
      </w:pPr>
      <w:bookmarkStart w:id="16" w:name="_Hlk109126378"/>
    </w:p>
    <w:bookmarkEnd w:id="16"/>
    <w:p w14:paraId="36C82166" w14:textId="7CF3BACA" w:rsidR="00127982" w:rsidRPr="00C77D17" w:rsidRDefault="00C77D17" w:rsidP="00127982">
      <w:pPr>
        <w:pStyle w:val="BesediloUMAR"/>
      </w:pPr>
      <w:r w:rsidRPr="00C77D17">
        <w:rPr>
          <w:rStyle w:val="VodilnistavekUMAR"/>
        </w:rPr>
        <w:t>D</w:t>
      </w:r>
      <w:r w:rsidR="00127982" w:rsidRPr="00C77D17">
        <w:rPr>
          <w:rStyle w:val="VodilnistavekUMAR"/>
        </w:rPr>
        <w:t>odana vrednost in produktivnost dela v družbah trgovine</w:t>
      </w:r>
      <w:r w:rsidR="00127982" w:rsidRPr="005732E6">
        <w:rPr>
          <w:rStyle w:val="VodilnistavekUMAR"/>
        </w:rPr>
        <w:t xml:space="preserve"> ter vzdrževanja in popravil motornih vozil </w:t>
      </w:r>
      <w:r>
        <w:rPr>
          <w:rStyle w:val="VodilnistavekUMAR"/>
        </w:rPr>
        <w:t xml:space="preserve">se je </w:t>
      </w:r>
      <w:r w:rsidR="00127982">
        <w:rPr>
          <w:rStyle w:val="VodilnistavekUMAR"/>
        </w:rPr>
        <w:t>v letu 202</w:t>
      </w:r>
      <w:r>
        <w:rPr>
          <w:rStyle w:val="VodilnistavekUMAR"/>
        </w:rPr>
        <w:t xml:space="preserve">3 </w:t>
      </w:r>
      <w:r w:rsidR="00127982">
        <w:rPr>
          <w:rStyle w:val="VodilnistavekUMAR"/>
        </w:rPr>
        <w:t>povečala</w:t>
      </w:r>
      <w:r>
        <w:rPr>
          <w:rStyle w:val="VodilnistavekUMAR"/>
        </w:rPr>
        <w:t xml:space="preserve"> za okoli desetino.</w:t>
      </w:r>
      <w:r w:rsidR="00127982" w:rsidRPr="005732E6">
        <w:t xml:space="preserve"> Po zmanjševanju v obdobju 2011–2013</w:t>
      </w:r>
      <w:r w:rsidR="00055B75">
        <w:t xml:space="preserve"> (zadnja leta gospodarsko-finančne krize)</w:t>
      </w:r>
      <w:r w:rsidR="00127982" w:rsidRPr="005732E6">
        <w:t xml:space="preserve"> se je dodana vrednost trgovskih družb v naslednjih letih povečevala</w:t>
      </w:r>
      <w:r w:rsidR="00127982">
        <w:rPr>
          <w:rStyle w:val="Sprotnaopomba-sklic"/>
        </w:rPr>
        <w:footnoteReference w:id="3"/>
      </w:r>
      <w:r w:rsidR="00127982" w:rsidRPr="005732E6">
        <w:t xml:space="preserve">. </w:t>
      </w:r>
      <w:r w:rsidR="006B4DBA">
        <w:t xml:space="preserve">Občutneje, za skoraj petino, </w:t>
      </w:r>
      <w:r w:rsidR="00A36172">
        <w:t>v</w:t>
      </w:r>
      <w:r w:rsidR="006B4DBA">
        <w:t xml:space="preserve"> let</w:t>
      </w:r>
      <w:r w:rsidR="00A36172">
        <w:t>u</w:t>
      </w:r>
      <w:r w:rsidR="006B4DBA">
        <w:t xml:space="preserve"> 2021, ko je bil delež trgovskih družb</w:t>
      </w:r>
      <w:r w:rsidR="006B4DBA" w:rsidRPr="006B4DBA">
        <w:t xml:space="preserve"> </w:t>
      </w:r>
      <w:r w:rsidR="006B4DBA" w:rsidRPr="005732E6">
        <w:t>v skupni dodani vrednosti</w:t>
      </w:r>
      <w:r w:rsidR="006B4DBA">
        <w:t xml:space="preserve"> z </w:t>
      </w:r>
      <w:r w:rsidR="006B4DBA" w:rsidRPr="005732E6">
        <w:t>18,7 % najvišji po letu 2010</w:t>
      </w:r>
      <w:r w:rsidR="006B4DBA">
        <w:t xml:space="preserve">. Po skromnem povečanju leta 2022 se je dodana vrednost v letu 2023 okrepila za dobro desetino, </w:t>
      </w:r>
      <w:r w:rsidR="006B4DBA" w:rsidRPr="005732E6">
        <w:t xml:space="preserve">kar je bilo </w:t>
      </w:r>
      <w:r w:rsidR="006B4DBA">
        <w:t xml:space="preserve">nekaj manj </w:t>
      </w:r>
      <w:r w:rsidR="006B4DBA" w:rsidRPr="005732E6">
        <w:t>kot v povprečju gospodarskih družb</w:t>
      </w:r>
      <w:r w:rsidR="006B4DBA">
        <w:t xml:space="preserve">. S tem se je </w:t>
      </w:r>
      <w:r w:rsidR="006B4DBA" w:rsidRPr="005732E6">
        <w:t>njen delež v skupni dodani vrednosti</w:t>
      </w:r>
      <w:r w:rsidR="006B4DBA">
        <w:t xml:space="preserve"> znižal na 17,6 %, kar je podobno kot pred epidemijo leta 2019.</w:t>
      </w:r>
      <w:r>
        <w:t xml:space="preserve"> </w:t>
      </w:r>
      <w:r w:rsidR="00127982">
        <w:rPr>
          <w:bCs/>
        </w:rPr>
        <w:t xml:space="preserve">Po zmanjšanju v letu 2020, ki bi bilo brez ukrepov vlade za ohranjanje delovnih mest še precej večje </w:t>
      </w:r>
      <w:bookmarkStart w:id="17" w:name="_Hlk121480052"/>
      <w:r w:rsidR="00127982">
        <w:rPr>
          <w:bCs/>
        </w:rPr>
        <w:t xml:space="preserve">(za več glej </w:t>
      </w:r>
      <w:r w:rsidR="00317ED8">
        <w:rPr>
          <w:bCs/>
        </w:rPr>
        <w:fldChar w:fldCharType="begin"/>
      </w:r>
      <w:r w:rsidR="00317ED8">
        <w:rPr>
          <w:bCs/>
        </w:rPr>
        <w:instrText xml:space="preserve"> ADDIN ZOTERO_ITEM CSL_CITATION {"citationID":"QoaWMpcF","properties":{"formattedCitation":"(Koprivnikar \\uc0\\u352{}u\\uc0\\u353{}ter\\uc0\\u353{}i\\uc0\\u269{}, 2023)","plainCitation":"(Koprivnikar Šušteršič, 2023)","noteIndex":0},"citationItems":[{"id":4823,"uris":["http://zotero.org/users/8372339/items/74M9HW7D"],"itemData":{"id":4823,"type":"webpage","abstract":"V kratki analizi proučimo statistične podatke iz bilanc stanja in izkaza poslovnega izida gospodarskih družb v dejavnosti trgovina ter vzdrževanje in popravila motornih vozil (G), ki po deležu dodane vrednosti, neto čistega dobička in števila zaposlenih v celotni vrednosti vseh gospodarskih družb spada med največje dejavnosti slovenskega gospodarstva. Te družbe ustvarijo okoli 80 % dodane vrednosti celotne dejavnosti trgovine (ostalo drugi poslovni subjekti). Zanimajo nas glavne značilnosti poslovanja in njihovega premoženjsko-finančnega položaja. Analiza zajema obdobje po letu 2008, z glavnim poudarkom na poslovanju v zadnjem letu, tj. letu 2022.\nGospodarske družbe trgovine ter vzdrževanja in popravil motornih vozil (G) so po letu 2013, ko so imele manjšo izgubo, vseskozi poslovale z neto čistim dobičkom, ki pa se je, po močnem povečanju leta 2021, v letu 2022 nekoliko zmanjšal. Po tem, ko se je v letu 2021 poslovanje izboljšalo v večini panog, se je rast dodane vrednosti, produktivnosti in dobička v letu 2022 nadaljevala le v družbah trgovine na debelo in trgovine z motornimi vozili. Poslovanje družb v trgovini na drobno, ki se je leta 2021 tudi pod vplivom visoke rasti trošenja gospodinjstev skokovito izboljšalo, pa se je v letu 2022 poslabšalo. Ob trošenju gospodinjstev, ki se je lani bolj preusmerilo v storitve, je bil neto čisti dobiček družb trgovine na drobno v nespecializiranih prodajalnah, v katerih prevladujejo hipermarketi, marketi in diskonti, za polovico manjši od vrednosti iz leta 2021, a še vedno enkrat večji kot leta 2019. Še izraziteje, za 92 %, se je zmanjšal neto čisti dobiček družb trgovine na drobno v specializiranih prodajalnah z motornimi gorivi, na kar so vplivale tudi visoke nabavne cene energentov ob vladni regulaciji cen goriv, električne energije in zemeljskega plina. V letu 2022 se je družbam obeh panog poslabšala tudi gospodarnost poslovanja, prav tako se je zmanjšal presežek prihodkov od prodaje nad stroški blaga, materiala, storitev in dela, ki je bil v letu 2021 najvišji v celotnem obdobju.","language":"sl","title":"Poslovanje trgovskih gospodarskih družb do leta 2022","URL":"https://www.umar.gov.si/publikacije/kratke-analize/publikacija/poslovanje-trgovskih-gospodarskih-druzb-do-leta-2022","author":[{"family":"Koprivnikar Šušteršič","given":"Mojca"}],"accessed":{"date-parts":[["2024",6,26]]},"issued":{"date-parts":[["2023",7,11]]}}}],"schema":"https://github.com/citation-style-language/schema/raw/master/csl-citation.json"} </w:instrText>
      </w:r>
      <w:r w:rsidR="00317ED8">
        <w:rPr>
          <w:bCs/>
        </w:rPr>
        <w:fldChar w:fldCharType="separate"/>
      </w:r>
      <w:r w:rsidR="00317ED8" w:rsidRPr="00317ED8">
        <w:rPr>
          <w:rFonts w:cs="Times New Roman"/>
          <w:szCs w:val="24"/>
        </w:rPr>
        <w:t>Koprivnikar Šušteršič, 2023)</w:t>
      </w:r>
      <w:r w:rsidR="00317ED8">
        <w:rPr>
          <w:bCs/>
        </w:rPr>
        <w:fldChar w:fldCharType="end"/>
      </w:r>
      <w:bookmarkEnd w:id="17"/>
      <w:r w:rsidR="00127982">
        <w:rPr>
          <w:bCs/>
        </w:rPr>
        <w:t xml:space="preserve">, se je </w:t>
      </w:r>
      <w:r>
        <w:rPr>
          <w:bCs/>
        </w:rPr>
        <w:t xml:space="preserve">v naslednjih letih </w:t>
      </w:r>
      <w:r w:rsidR="00127982">
        <w:rPr>
          <w:bCs/>
        </w:rPr>
        <w:t>povečalo tudi število zaposlenih.</w:t>
      </w:r>
      <w:r w:rsidR="00127982">
        <w:t xml:space="preserve"> Ob </w:t>
      </w:r>
      <w:r>
        <w:t xml:space="preserve">precej </w:t>
      </w:r>
      <w:r w:rsidR="00127982">
        <w:t xml:space="preserve">nižji rasti števila zaposlenih od rasti dodane vrednosti so družbe </w:t>
      </w:r>
      <w:r w:rsidR="00CE547D">
        <w:t xml:space="preserve">v letu 2023 </w:t>
      </w:r>
      <w:r>
        <w:t>občutneje</w:t>
      </w:r>
      <w:r w:rsidR="00127982">
        <w:t xml:space="preserve"> </w:t>
      </w:r>
      <w:r w:rsidR="00127982" w:rsidRPr="005732E6">
        <w:t>okrepil</w:t>
      </w:r>
      <w:r w:rsidR="00127982">
        <w:t>e</w:t>
      </w:r>
      <w:r w:rsidR="00127982" w:rsidRPr="005732E6">
        <w:t xml:space="preserve"> tudi produktivnost</w:t>
      </w:r>
      <w:r>
        <w:t xml:space="preserve"> (za 9 %)</w:t>
      </w:r>
      <w:r w:rsidR="00127982">
        <w:t>.</w:t>
      </w:r>
      <w:r w:rsidR="00127982" w:rsidRPr="005732E6">
        <w:t xml:space="preserve"> Ta </w:t>
      </w:r>
      <w:r w:rsidR="00127982">
        <w:t xml:space="preserve">je </w:t>
      </w:r>
      <w:r w:rsidR="00127982" w:rsidRPr="005732E6">
        <w:t xml:space="preserve">v dejavnosti trgovine v nominalnem znesku </w:t>
      </w:r>
      <w:r w:rsidR="00127982">
        <w:t>tudi lani</w:t>
      </w:r>
      <w:r w:rsidR="00127982" w:rsidRPr="005732E6">
        <w:t xml:space="preserve"> presega</w:t>
      </w:r>
      <w:r w:rsidR="00127982">
        <w:t>la</w:t>
      </w:r>
      <w:r w:rsidR="00127982" w:rsidRPr="005732E6">
        <w:t xml:space="preserve"> povprečno produktivnost vseh gospodarskih družb</w:t>
      </w:r>
      <w:r w:rsidR="00127982">
        <w:rPr>
          <w:rStyle w:val="Sprotnaopomba-sklic"/>
        </w:rPr>
        <w:footnoteReference w:id="4"/>
      </w:r>
      <w:r w:rsidR="00127982">
        <w:t xml:space="preserve">. Rast </w:t>
      </w:r>
      <w:r w:rsidR="00055B75">
        <w:t xml:space="preserve">števila </w:t>
      </w:r>
      <w:r w:rsidR="00127982">
        <w:t xml:space="preserve">zaposlenih </w:t>
      </w:r>
      <w:r w:rsidR="00127982" w:rsidRPr="0046590F">
        <w:rPr>
          <w:bCs/>
        </w:rPr>
        <w:t xml:space="preserve">in povišanje minimalne ter povprečne plače </w:t>
      </w:r>
      <w:r w:rsidR="00127982">
        <w:rPr>
          <w:bCs/>
        </w:rPr>
        <w:t>so zvišali tudi stroške dela.</w:t>
      </w:r>
      <w:r w:rsidR="00127982" w:rsidRPr="005732E6">
        <w:t xml:space="preserve"> Ob </w:t>
      </w:r>
      <w:r>
        <w:t xml:space="preserve">nekoliko </w:t>
      </w:r>
      <w:r w:rsidR="00EC5BE6">
        <w:t xml:space="preserve">izrazitejšem </w:t>
      </w:r>
      <w:r w:rsidR="00127982" w:rsidRPr="005732E6">
        <w:t>povečanju stroškov dela na zaposlenega od rasti produktivnosti se je leta 202</w:t>
      </w:r>
      <w:r>
        <w:t>3 še</w:t>
      </w:r>
      <w:r w:rsidR="00127982" w:rsidRPr="005732E6">
        <w:t xml:space="preserve"> </w:t>
      </w:r>
      <w:r w:rsidR="00127982">
        <w:t>nekoliko povečal</w:t>
      </w:r>
      <w:r w:rsidR="00127982" w:rsidRPr="005732E6">
        <w:t xml:space="preserve"> delež stroškov dela v dodani vrednosti, ki </w:t>
      </w:r>
      <w:r w:rsidR="00127982">
        <w:t xml:space="preserve">pa </w:t>
      </w:r>
      <w:r w:rsidR="00127982" w:rsidRPr="005732E6">
        <w:t>je bil s 5</w:t>
      </w:r>
      <w:r>
        <w:t>6,2</w:t>
      </w:r>
      <w:r w:rsidR="00127982">
        <w:t> </w:t>
      </w:r>
      <w:r w:rsidR="00127982" w:rsidRPr="005732E6">
        <w:t xml:space="preserve">% </w:t>
      </w:r>
      <w:r w:rsidR="00127982">
        <w:t xml:space="preserve">še vedno med </w:t>
      </w:r>
      <w:r w:rsidR="00127982" w:rsidRPr="005732E6">
        <w:t>najnižji</w:t>
      </w:r>
      <w:r w:rsidR="00127982">
        <w:t>mi</w:t>
      </w:r>
      <w:r w:rsidR="00127982" w:rsidRPr="005732E6">
        <w:t xml:space="preserve"> od leta 2008.</w:t>
      </w:r>
    </w:p>
    <w:p w14:paraId="36B621B1" w14:textId="77777777" w:rsidR="00127982" w:rsidRDefault="00127982" w:rsidP="00127982">
      <w:pPr>
        <w:pStyle w:val="Napis"/>
        <w:rPr>
          <w:rStyle w:val="DZBesediloChar"/>
          <w:szCs w:val="20"/>
        </w:rPr>
      </w:pPr>
      <w:bookmarkStart w:id="18" w:name="_Toc96409042"/>
      <w:r w:rsidRPr="0096000C">
        <w:lastRenderedPageBreak/>
        <w:t xml:space="preserve">Tabela </w:t>
      </w:r>
      <w:r w:rsidRPr="0096000C">
        <w:fldChar w:fldCharType="begin"/>
      </w:r>
      <w:r w:rsidRPr="0096000C">
        <w:instrText xml:space="preserve"> SEQ Tabela \* ARABIC </w:instrText>
      </w:r>
      <w:r w:rsidRPr="0096000C">
        <w:fldChar w:fldCharType="separate"/>
      </w:r>
      <w:r w:rsidRPr="0096000C">
        <w:t>1</w:t>
      </w:r>
      <w:r w:rsidRPr="0096000C">
        <w:fldChar w:fldCharType="end"/>
      </w:r>
      <w:r w:rsidRPr="00355D96">
        <w:rPr>
          <w:rStyle w:val="DZBesediloChar"/>
          <w:szCs w:val="20"/>
        </w:rPr>
        <w:t>: Kazalniki poslovanja gospodarskih družb v dejavnosti trgovina, vzdrževanje in popravila motornih vozil v izbranih letih</w:t>
      </w:r>
      <w:bookmarkEnd w:id="18"/>
    </w:p>
    <w:tbl>
      <w:tblPr>
        <w:tblStyle w:val="Tabelasvetlamrea"/>
        <w:tblW w:w="9406" w:type="dxa"/>
        <w:tblLayout w:type="fixed"/>
        <w:tblLook w:val="01E0" w:firstRow="1" w:lastRow="1" w:firstColumn="1" w:lastColumn="1" w:noHBand="0" w:noVBand="0"/>
      </w:tblPr>
      <w:tblGrid>
        <w:gridCol w:w="3503"/>
        <w:gridCol w:w="737"/>
        <w:gridCol w:w="738"/>
        <w:gridCol w:w="738"/>
        <w:gridCol w:w="738"/>
        <w:gridCol w:w="738"/>
        <w:gridCol w:w="738"/>
        <w:gridCol w:w="738"/>
        <w:gridCol w:w="738"/>
      </w:tblGrid>
      <w:tr w:rsidR="00127982" w:rsidRPr="00355D96" w14:paraId="7D6516E8" w14:textId="77777777" w:rsidTr="00407B21">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3" w:type="dxa"/>
          </w:tcPr>
          <w:p w14:paraId="043762C3" w14:textId="77777777" w:rsidR="00127982" w:rsidRPr="00355D96" w:rsidRDefault="00127982" w:rsidP="00407B21">
            <w:pPr>
              <w:pStyle w:val="BesediloUMAR"/>
              <w:rPr>
                <w:b/>
                <w:bCs/>
              </w:rPr>
            </w:pPr>
          </w:p>
        </w:tc>
        <w:tc>
          <w:tcPr>
            <w:cnfStyle w:val="000010000000" w:firstRow="0" w:lastRow="0" w:firstColumn="0" w:lastColumn="0" w:oddVBand="1" w:evenVBand="0" w:oddHBand="0" w:evenHBand="0" w:firstRowFirstColumn="0" w:firstRowLastColumn="0" w:lastRowFirstColumn="0" w:lastRowLastColumn="0"/>
            <w:tcW w:w="737" w:type="dxa"/>
          </w:tcPr>
          <w:p w14:paraId="5BD4960D" w14:textId="77777777" w:rsidR="00127982" w:rsidRPr="00355D96" w:rsidRDefault="00127982" w:rsidP="00407B21">
            <w:pPr>
              <w:pStyle w:val="TabelaglavadesnoUMAR"/>
            </w:pPr>
            <w:r w:rsidRPr="00355D96">
              <w:t>2008</w:t>
            </w:r>
          </w:p>
        </w:tc>
        <w:tc>
          <w:tcPr>
            <w:cnfStyle w:val="000001000000" w:firstRow="0" w:lastRow="0" w:firstColumn="0" w:lastColumn="0" w:oddVBand="0" w:evenVBand="1" w:oddHBand="0" w:evenHBand="0" w:firstRowFirstColumn="0" w:firstRowLastColumn="0" w:lastRowFirstColumn="0" w:lastRowLastColumn="0"/>
            <w:tcW w:w="738" w:type="dxa"/>
          </w:tcPr>
          <w:p w14:paraId="058D47F1" w14:textId="77777777" w:rsidR="00127982" w:rsidRPr="00355D96" w:rsidRDefault="00127982" w:rsidP="00407B21">
            <w:pPr>
              <w:pStyle w:val="TabelaglavadesnoUMAR"/>
            </w:pPr>
            <w:r w:rsidRPr="00355D96">
              <w:t>2010</w:t>
            </w:r>
          </w:p>
        </w:tc>
        <w:tc>
          <w:tcPr>
            <w:cnfStyle w:val="000010000000" w:firstRow="0" w:lastRow="0" w:firstColumn="0" w:lastColumn="0" w:oddVBand="1" w:evenVBand="0" w:oddHBand="0" w:evenHBand="0" w:firstRowFirstColumn="0" w:firstRowLastColumn="0" w:lastRowFirstColumn="0" w:lastRowLastColumn="0"/>
            <w:tcW w:w="738" w:type="dxa"/>
          </w:tcPr>
          <w:p w14:paraId="180DAC83" w14:textId="77777777" w:rsidR="00127982" w:rsidRPr="00355D96" w:rsidRDefault="00127982" w:rsidP="00407B21">
            <w:pPr>
              <w:pStyle w:val="TabelaglavadesnoUMAR"/>
            </w:pPr>
            <w:r w:rsidRPr="00355D96">
              <w:t>2015</w:t>
            </w:r>
          </w:p>
        </w:tc>
        <w:tc>
          <w:tcPr>
            <w:cnfStyle w:val="000001000000" w:firstRow="0" w:lastRow="0" w:firstColumn="0" w:lastColumn="0" w:oddVBand="0" w:evenVBand="1" w:oddHBand="0" w:evenHBand="0" w:firstRowFirstColumn="0" w:firstRowLastColumn="0" w:lastRowFirstColumn="0" w:lastRowLastColumn="0"/>
            <w:tcW w:w="738" w:type="dxa"/>
          </w:tcPr>
          <w:p w14:paraId="5F9FEDC3" w14:textId="77777777" w:rsidR="00127982" w:rsidRPr="00355D96" w:rsidRDefault="00127982" w:rsidP="00407B21">
            <w:pPr>
              <w:pStyle w:val="TabelaglavadesnoUMAR"/>
            </w:pPr>
            <w:r w:rsidRPr="00355D96">
              <w:t>2019</w:t>
            </w:r>
          </w:p>
        </w:tc>
        <w:tc>
          <w:tcPr>
            <w:cnfStyle w:val="000010000000" w:firstRow="0" w:lastRow="0" w:firstColumn="0" w:lastColumn="0" w:oddVBand="1" w:evenVBand="0" w:oddHBand="0" w:evenHBand="0" w:firstRowFirstColumn="0" w:firstRowLastColumn="0" w:lastRowFirstColumn="0" w:lastRowLastColumn="0"/>
            <w:tcW w:w="738" w:type="dxa"/>
          </w:tcPr>
          <w:p w14:paraId="15713952" w14:textId="77777777" w:rsidR="00127982" w:rsidRPr="00355D96" w:rsidRDefault="00127982" w:rsidP="00407B21">
            <w:pPr>
              <w:pStyle w:val="TabelaglavadesnoUMAR"/>
            </w:pPr>
            <w:r w:rsidRPr="00355D96">
              <w:t>2020</w:t>
            </w:r>
          </w:p>
        </w:tc>
        <w:tc>
          <w:tcPr>
            <w:cnfStyle w:val="000001000000" w:firstRow="0" w:lastRow="0" w:firstColumn="0" w:lastColumn="0" w:oddVBand="0" w:evenVBand="1" w:oddHBand="0" w:evenHBand="0" w:firstRowFirstColumn="0" w:firstRowLastColumn="0" w:lastRowFirstColumn="0" w:lastRowLastColumn="0"/>
            <w:tcW w:w="738" w:type="dxa"/>
          </w:tcPr>
          <w:p w14:paraId="33B0AC59" w14:textId="77777777" w:rsidR="00127982" w:rsidRPr="00355D96" w:rsidRDefault="00127982" w:rsidP="00407B21">
            <w:pPr>
              <w:pStyle w:val="TabelaglavadesnoUMAR"/>
            </w:pPr>
            <w:r>
              <w:t>2021</w:t>
            </w:r>
          </w:p>
        </w:tc>
        <w:tc>
          <w:tcPr>
            <w:cnfStyle w:val="000010000000" w:firstRow="0" w:lastRow="0" w:firstColumn="0" w:lastColumn="0" w:oddVBand="1" w:evenVBand="0" w:oddHBand="0" w:evenHBand="0" w:firstRowFirstColumn="0" w:firstRowLastColumn="0" w:lastRowFirstColumn="0" w:lastRowLastColumn="0"/>
            <w:tcW w:w="738" w:type="dxa"/>
          </w:tcPr>
          <w:p w14:paraId="1BD09698" w14:textId="77777777" w:rsidR="00127982" w:rsidRDefault="00127982" w:rsidP="00407B21">
            <w:pPr>
              <w:pStyle w:val="TabelaglavadesnoUMAR"/>
            </w:pPr>
            <w:r>
              <w:t>2022</w:t>
            </w:r>
          </w:p>
        </w:tc>
        <w:tc>
          <w:tcPr>
            <w:cnfStyle w:val="000100000000" w:firstRow="0" w:lastRow="0" w:firstColumn="0" w:lastColumn="1" w:oddVBand="0" w:evenVBand="0" w:oddHBand="0" w:evenHBand="0" w:firstRowFirstColumn="0" w:firstRowLastColumn="0" w:lastRowFirstColumn="0" w:lastRowLastColumn="0"/>
            <w:tcW w:w="738" w:type="dxa"/>
          </w:tcPr>
          <w:p w14:paraId="2C2E0AE7" w14:textId="77777777" w:rsidR="00127982" w:rsidRPr="00355D96" w:rsidRDefault="00127982" w:rsidP="00407B21">
            <w:pPr>
              <w:pStyle w:val="TabelaglavadesnoUMAR"/>
            </w:pPr>
            <w:r>
              <w:t>2023</w:t>
            </w:r>
          </w:p>
        </w:tc>
      </w:tr>
      <w:tr w:rsidR="00127982" w:rsidRPr="00355D96" w14:paraId="6A1ECB2C"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2A2CBE10" w14:textId="77777777" w:rsidR="00127982" w:rsidRPr="00355D96" w:rsidRDefault="00127982" w:rsidP="00407B21">
            <w:pPr>
              <w:pStyle w:val="TabelalevoUMAR"/>
            </w:pPr>
            <w:r w:rsidRPr="00355D96">
              <w:t>Število gospodarskih družb</w:t>
            </w:r>
          </w:p>
        </w:tc>
        <w:tc>
          <w:tcPr>
            <w:cnfStyle w:val="000010000000" w:firstRow="0" w:lastRow="0" w:firstColumn="0" w:lastColumn="0" w:oddVBand="1" w:evenVBand="0" w:oddHBand="0" w:evenHBand="0" w:firstRowFirstColumn="0" w:firstRowLastColumn="0" w:lastRowFirstColumn="0" w:lastRowLastColumn="0"/>
            <w:tcW w:w="737" w:type="dxa"/>
          </w:tcPr>
          <w:p w14:paraId="1184485A" w14:textId="77777777" w:rsidR="00127982" w:rsidRPr="00355D96" w:rsidRDefault="00127982" w:rsidP="00407B21">
            <w:pPr>
              <w:pStyle w:val="TabeladesnoUMAR"/>
            </w:pPr>
            <w:r w:rsidRPr="00355D96">
              <w:t>13.456</w:t>
            </w:r>
          </w:p>
        </w:tc>
        <w:tc>
          <w:tcPr>
            <w:cnfStyle w:val="000001000000" w:firstRow="0" w:lastRow="0" w:firstColumn="0" w:lastColumn="0" w:oddVBand="0" w:evenVBand="1" w:oddHBand="0" w:evenHBand="0" w:firstRowFirstColumn="0" w:firstRowLastColumn="0" w:lastRowFirstColumn="0" w:lastRowLastColumn="0"/>
            <w:tcW w:w="738" w:type="dxa"/>
          </w:tcPr>
          <w:p w14:paraId="1AD864B0" w14:textId="77777777" w:rsidR="00127982" w:rsidRPr="00355D96" w:rsidRDefault="00127982" w:rsidP="00407B21">
            <w:pPr>
              <w:pStyle w:val="TabeladesnoUMAR"/>
            </w:pPr>
            <w:r w:rsidRPr="00355D96">
              <w:t>13.947</w:t>
            </w:r>
          </w:p>
        </w:tc>
        <w:tc>
          <w:tcPr>
            <w:cnfStyle w:val="000010000000" w:firstRow="0" w:lastRow="0" w:firstColumn="0" w:lastColumn="0" w:oddVBand="1" w:evenVBand="0" w:oddHBand="0" w:evenHBand="0" w:firstRowFirstColumn="0" w:firstRowLastColumn="0" w:lastRowFirstColumn="0" w:lastRowLastColumn="0"/>
            <w:tcW w:w="738" w:type="dxa"/>
          </w:tcPr>
          <w:p w14:paraId="7A9B6C0E" w14:textId="77777777" w:rsidR="00127982" w:rsidRPr="00355D96" w:rsidRDefault="00127982" w:rsidP="00407B21">
            <w:pPr>
              <w:pStyle w:val="TabeladesnoUMAR"/>
            </w:pPr>
            <w:r w:rsidRPr="00355D96">
              <w:t>15.354</w:t>
            </w:r>
          </w:p>
        </w:tc>
        <w:tc>
          <w:tcPr>
            <w:cnfStyle w:val="000001000000" w:firstRow="0" w:lastRow="0" w:firstColumn="0" w:lastColumn="0" w:oddVBand="0" w:evenVBand="1" w:oddHBand="0" w:evenHBand="0" w:firstRowFirstColumn="0" w:firstRowLastColumn="0" w:lastRowFirstColumn="0" w:lastRowLastColumn="0"/>
            <w:tcW w:w="738" w:type="dxa"/>
          </w:tcPr>
          <w:p w14:paraId="378D572A" w14:textId="77777777" w:rsidR="00127982" w:rsidRPr="00355D96" w:rsidRDefault="00127982" w:rsidP="00407B21">
            <w:pPr>
              <w:pStyle w:val="TabeladesnoUMAR"/>
            </w:pPr>
            <w:r w:rsidRPr="00355D96">
              <w:t>15.084</w:t>
            </w:r>
          </w:p>
        </w:tc>
        <w:tc>
          <w:tcPr>
            <w:cnfStyle w:val="000010000000" w:firstRow="0" w:lastRow="0" w:firstColumn="0" w:lastColumn="0" w:oddVBand="1" w:evenVBand="0" w:oddHBand="0" w:evenHBand="0" w:firstRowFirstColumn="0" w:firstRowLastColumn="0" w:lastRowFirstColumn="0" w:lastRowLastColumn="0"/>
            <w:tcW w:w="738" w:type="dxa"/>
          </w:tcPr>
          <w:p w14:paraId="4455A652" w14:textId="77777777" w:rsidR="00127982" w:rsidRPr="00355D96" w:rsidRDefault="00127982" w:rsidP="00407B21">
            <w:pPr>
              <w:pStyle w:val="TabeladesnoUMAR"/>
            </w:pPr>
            <w:r w:rsidRPr="00355D96">
              <w:t>15.167</w:t>
            </w:r>
          </w:p>
        </w:tc>
        <w:tc>
          <w:tcPr>
            <w:cnfStyle w:val="000001000000" w:firstRow="0" w:lastRow="0" w:firstColumn="0" w:lastColumn="0" w:oddVBand="0" w:evenVBand="1" w:oddHBand="0" w:evenHBand="0" w:firstRowFirstColumn="0" w:firstRowLastColumn="0" w:lastRowFirstColumn="0" w:lastRowLastColumn="0"/>
            <w:tcW w:w="738" w:type="dxa"/>
          </w:tcPr>
          <w:p w14:paraId="24DA7D3E" w14:textId="77777777" w:rsidR="00127982" w:rsidRPr="00355D96" w:rsidRDefault="00127982" w:rsidP="00407B21">
            <w:pPr>
              <w:pStyle w:val="TabeladesnoUMAR"/>
            </w:pPr>
            <w:r w:rsidRPr="00355D96">
              <w:t>15.002</w:t>
            </w:r>
          </w:p>
        </w:tc>
        <w:tc>
          <w:tcPr>
            <w:cnfStyle w:val="000010000000" w:firstRow="0" w:lastRow="0" w:firstColumn="0" w:lastColumn="0" w:oddVBand="1" w:evenVBand="0" w:oddHBand="0" w:evenHBand="0" w:firstRowFirstColumn="0" w:firstRowLastColumn="0" w:lastRowFirstColumn="0" w:lastRowLastColumn="0"/>
            <w:tcW w:w="738" w:type="dxa"/>
          </w:tcPr>
          <w:p w14:paraId="6D038B1D" w14:textId="77777777" w:rsidR="00127982" w:rsidRPr="00355D96" w:rsidRDefault="00127982" w:rsidP="00407B21">
            <w:pPr>
              <w:pStyle w:val="TabeladesnoUMAR"/>
            </w:pPr>
            <w:r>
              <w:t>14.873</w:t>
            </w:r>
          </w:p>
        </w:tc>
        <w:tc>
          <w:tcPr>
            <w:cnfStyle w:val="000100000000" w:firstRow="0" w:lastRow="0" w:firstColumn="0" w:lastColumn="1" w:oddVBand="0" w:evenVBand="0" w:oddHBand="0" w:evenHBand="0" w:firstRowFirstColumn="0" w:firstRowLastColumn="0" w:lastRowFirstColumn="0" w:lastRowLastColumn="0"/>
            <w:tcW w:w="738" w:type="dxa"/>
          </w:tcPr>
          <w:p w14:paraId="3BFCBE56" w14:textId="77777777" w:rsidR="00127982" w:rsidRPr="00355D96" w:rsidRDefault="00127982" w:rsidP="00407B21">
            <w:pPr>
              <w:pStyle w:val="TabeladesnoUMAR"/>
            </w:pPr>
            <w:r>
              <w:t>15.072</w:t>
            </w:r>
          </w:p>
        </w:tc>
      </w:tr>
      <w:tr w:rsidR="00127982" w:rsidRPr="00355D96" w14:paraId="778FCA1C"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3A654056" w14:textId="77777777" w:rsidR="00127982" w:rsidRPr="00355D96" w:rsidRDefault="00127982" w:rsidP="00407B21">
            <w:pPr>
              <w:pStyle w:val="TabelalevoUMAR"/>
              <w:rPr>
                <w:vertAlign w:val="superscript"/>
              </w:rPr>
            </w:pPr>
            <w:r w:rsidRPr="00355D96">
              <w:t>Število zaposlenih</w:t>
            </w:r>
            <w:r w:rsidRPr="00355D96">
              <w:rPr>
                <w:vertAlign w:val="superscript"/>
              </w:rPr>
              <w:t>1</w:t>
            </w:r>
          </w:p>
        </w:tc>
        <w:tc>
          <w:tcPr>
            <w:cnfStyle w:val="000010000000" w:firstRow="0" w:lastRow="0" w:firstColumn="0" w:lastColumn="0" w:oddVBand="1" w:evenVBand="0" w:oddHBand="0" w:evenHBand="0" w:firstRowFirstColumn="0" w:firstRowLastColumn="0" w:lastRowFirstColumn="0" w:lastRowLastColumn="0"/>
            <w:tcW w:w="737" w:type="dxa"/>
          </w:tcPr>
          <w:p w14:paraId="5961E58D" w14:textId="77777777" w:rsidR="00127982" w:rsidRPr="00355D96" w:rsidRDefault="00127982" w:rsidP="00407B21">
            <w:pPr>
              <w:pStyle w:val="TabeladesnoUMAR"/>
            </w:pPr>
            <w:r w:rsidRPr="00355D96">
              <w:t>90.311</w:t>
            </w:r>
          </w:p>
        </w:tc>
        <w:tc>
          <w:tcPr>
            <w:cnfStyle w:val="000001000000" w:firstRow="0" w:lastRow="0" w:firstColumn="0" w:lastColumn="0" w:oddVBand="0" w:evenVBand="1" w:oddHBand="0" w:evenHBand="0" w:firstRowFirstColumn="0" w:firstRowLastColumn="0" w:lastRowFirstColumn="0" w:lastRowLastColumn="0"/>
            <w:tcW w:w="738" w:type="dxa"/>
          </w:tcPr>
          <w:p w14:paraId="1BB048E9" w14:textId="77777777" w:rsidR="00127982" w:rsidRPr="00355D96" w:rsidRDefault="00127982" w:rsidP="00407B21">
            <w:pPr>
              <w:pStyle w:val="TabeladesnoUMAR"/>
            </w:pPr>
            <w:r w:rsidRPr="00355D96">
              <w:t>86.871</w:t>
            </w:r>
          </w:p>
        </w:tc>
        <w:tc>
          <w:tcPr>
            <w:cnfStyle w:val="000010000000" w:firstRow="0" w:lastRow="0" w:firstColumn="0" w:lastColumn="0" w:oddVBand="1" w:evenVBand="0" w:oddHBand="0" w:evenHBand="0" w:firstRowFirstColumn="0" w:firstRowLastColumn="0" w:lastRowFirstColumn="0" w:lastRowLastColumn="0"/>
            <w:tcW w:w="738" w:type="dxa"/>
          </w:tcPr>
          <w:p w14:paraId="54E9E1B1" w14:textId="77777777" w:rsidR="00127982" w:rsidRPr="00355D96" w:rsidRDefault="00127982" w:rsidP="00407B21">
            <w:pPr>
              <w:pStyle w:val="TabeladesnoUMAR"/>
            </w:pPr>
            <w:r w:rsidRPr="00355D96">
              <w:t>79.770</w:t>
            </w:r>
          </w:p>
        </w:tc>
        <w:tc>
          <w:tcPr>
            <w:cnfStyle w:val="000001000000" w:firstRow="0" w:lastRow="0" w:firstColumn="0" w:lastColumn="0" w:oddVBand="0" w:evenVBand="1" w:oddHBand="0" w:evenHBand="0" w:firstRowFirstColumn="0" w:firstRowLastColumn="0" w:lastRowFirstColumn="0" w:lastRowLastColumn="0"/>
            <w:tcW w:w="738" w:type="dxa"/>
          </w:tcPr>
          <w:p w14:paraId="2B843558" w14:textId="77777777" w:rsidR="00127982" w:rsidRPr="00355D96" w:rsidRDefault="00127982" w:rsidP="00407B21">
            <w:pPr>
              <w:pStyle w:val="TabeladesnoUMAR"/>
            </w:pPr>
            <w:r w:rsidRPr="00355D96">
              <w:t>88.872</w:t>
            </w:r>
          </w:p>
        </w:tc>
        <w:tc>
          <w:tcPr>
            <w:cnfStyle w:val="000010000000" w:firstRow="0" w:lastRow="0" w:firstColumn="0" w:lastColumn="0" w:oddVBand="1" w:evenVBand="0" w:oddHBand="0" w:evenHBand="0" w:firstRowFirstColumn="0" w:firstRowLastColumn="0" w:lastRowFirstColumn="0" w:lastRowLastColumn="0"/>
            <w:tcW w:w="738" w:type="dxa"/>
          </w:tcPr>
          <w:p w14:paraId="09FF35FB" w14:textId="77777777" w:rsidR="00127982" w:rsidRPr="00355D96" w:rsidRDefault="00127982" w:rsidP="00407B21">
            <w:pPr>
              <w:pStyle w:val="TabeladesnoUMAR"/>
            </w:pPr>
            <w:r w:rsidRPr="00355D96">
              <w:t>88.828</w:t>
            </w:r>
          </w:p>
        </w:tc>
        <w:tc>
          <w:tcPr>
            <w:cnfStyle w:val="000001000000" w:firstRow="0" w:lastRow="0" w:firstColumn="0" w:lastColumn="0" w:oddVBand="0" w:evenVBand="1" w:oddHBand="0" w:evenHBand="0" w:firstRowFirstColumn="0" w:firstRowLastColumn="0" w:lastRowFirstColumn="0" w:lastRowLastColumn="0"/>
            <w:tcW w:w="738" w:type="dxa"/>
          </w:tcPr>
          <w:p w14:paraId="1EC69CD3" w14:textId="77777777" w:rsidR="00127982" w:rsidRPr="00355D96" w:rsidRDefault="00127982" w:rsidP="00407B21">
            <w:pPr>
              <w:pStyle w:val="TabeladesnoUMAR"/>
            </w:pPr>
            <w:r w:rsidRPr="00355D96">
              <w:t>90.357</w:t>
            </w:r>
          </w:p>
        </w:tc>
        <w:tc>
          <w:tcPr>
            <w:cnfStyle w:val="000010000000" w:firstRow="0" w:lastRow="0" w:firstColumn="0" w:lastColumn="0" w:oddVBand="1" w:evenVBand="0" w:oddHBand="0" w:evenHBand="0" w:firstRowFirstColumn="0" w:firstRowLastColumn="0" w:lastRowFirstColumn="0" w:lastRowLastColumn="0"/>
            <w:tcW w:w="738" w:type="dxa"/>
          </w:tcPr>
          <w:p w14:paraId="447B1ECC" w14:textId="77777777" w:rsidR="00127982" w:rsidRPr="00355D96" w:rsidRDefault="00127982" w:rsidP="00407B21">
            <w:pPr>
              <w:pStyle w:val="TabeladesnoUMAR"/>
            </w:pPr>
            <w:r>
              <w:t>91.800</w:t>
            </w:r>
          </w:p>
        </w:tc>
        <w:tc>
          <w:tcPr>
            <w:cnfStyle w:val="000100000000" w:firstRow="0" w:lastRow="0" w:firstColumn="0" w:lastColumn="1" w:oddVBand="0" w:evenVBand="0" w:oddHBand="0" w:evenHBand="0" w:firstRowFirstColumn="0" w:firstRowLastColumn="0" w:lastRowFirstColumn="0" w:lastRowLastColumn="0"/>
            <w:tcW w:w="738" w:type="dxa"/>
          </w:tcPr>
          <w:p w14:paraId="42595146" w14:textId="77777777" w:rsidR="00127982" w:rsidRPr="00355D96" w:rsidRDefault="00127982" w:rsidP="00407B21">
            <w:pPr>
              <w:pStyle w:val="TabeladesnoUMAR"/>
            </w:pPr>
            <w:r>
              <w:t>92.955</w:t>
            </w:r>
          </w:p>
        </w:tc>
      </w:tr>
      <w:tr w:rsidR="00127982" w:rsidRPr="00355D96" w14:paraId="73EBC286"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624992A6" w14:textId="77777777" w:rsidR="00127982" w:rsidRPr="00355D96" w:rsidRDefault="00127982" w:rsidP="00407B21">
            <w:pPr>
              <w:pStyle w:val="TabelalevoUMAR"/>
            </w:pPr>
            <w:r w:rsidRPr="00355D96">
              <w:t>Delež zaposlenih v vseh družbah (v %)</w:t>
            </w:r>
          </w:p>
        </w:tc>
        <w:tc>
          <w:tcPr>
            <w:cnfStyle w:val="000010000000" w:firstRow="0" w:lastRow="0" w:firstColumn="0" w:lastColumn="0" w:oddVBand="1" w:evenVBand="0" w:oddHBand="0" w:evenHBand="0" w:firstRowFirstColumn="0" w:firstRowLastColumn="0" w:lastRowFirstColumn="0" w:lastRowLastColumn="0"/>
            <w:tcW w:w="737" w:type="dxa"/>
          </w:tcPr>
          <w:p w14:paraId="3B8BDB86" w14:textId="77777777" w:rsidR="00127982" w:rsidRPr="00355D96" w:rsidRDefault="00127982" w:rsidP="00407B21">
            <w:pPr>
              <w:pStyle w:val="TabeladesnoUMAR"/>
            </w:pPr>
            <w:r w:rsidRPr="00355D96">
              <w:t>17,7</w:t>
            </w:r>
          </w:p>
        </w:tc>
        <w:tc>
          <w:tcPr>
            <w:cnfStyle w:val="000001000000" w:firstRow="0" w:lastRow="0" w:firstColumn="0" w:lastColumn="0" w:oddVBand="0" w:evenVBand="1" w:oddHBand="0" w:evenHBand="0" w:firstRowFirstColumn="0" w:firstRowLastColumn="0" w:lastRowFirstColumn="0" w:lastRowLastColumn="0"/>
            <w:tcW w:w="738" w:type="dxa"/>
          </w:tcPr>
          <w:p w14:paraId="7F7168C3" w14:textId="77777777" w:rsidR="00127982" w:rsidRPr="00355D96" w:rsidRDefault="00127982" w:rsidP="00407B21">
            <w:pPr>
              <w:pStyle w:val="TabeladesnoUMAR"/>
            </w:pPr>
            <w:r w:rsidRPr="00355D96">
              <w:t>18,8</w:t>
            </w:r>
          </w:p>
        </w:tc>
        <w:tc>
          <w:tcPr>
            <w:cnfStyle w:val="000010000000" w:firstRow="0" w:lastRow="0" w:firstColumn="0" w:lastColumn="0" w:oddVBand="1" w:evenVBand="0" w:oddHBand="0" w:evenHBand="0" w:firstRowFirstColumn="0" w:firstRowLastColumn="0" w:lastRowFirstColumn="0" w:lastRowLastColumn="0"/>
            <w:tcW w:w="738" w:type="dxa"/>
          </w:tcPr>
          <w:p w14:paraId="3CCCECD0" w14:textId="77777777" w:rsidR="00127982" w:rsidRPr="00355D96" w:rsidRDefault="00127982" w:rsidP="00407B21">
            <w:pPr>
              <w:pStyle w:val="TabeladesnoUMAR"/>
            </w:pPr>
            <w:r w:rsidRPr="00355D96">
              <w:t xml:space="preserve"> 17,9</w:t>
            </w:r>
          </w:p>
        </w:tc>
        <w:tc>
          <w:tcPr>
            <w:cnfStyle w:val="000001000000" w:firstRow="0" w:lastRow="0" w:firstColumn="0" w:lastColumn="0" w:oddVBand="0" w:evenVBand="1" w:oddHBand="0" w:evenHBand="0" w:firstRowFirstColumn="0" w:firstRowLastColumn="0" w:lastRowFirstColumn="0" w:lastRowLastColumn="0"/>
            <w:tcW w:w="738" w:type="dxa"/>
          </w:tcPr>
          <w:p w14:paraId="1CA5B7AA" w14:textId="77777777" w:rsidR="00127982" w:rsidRPr="00355D96" w:rsidRDefault="00127982" w:rsidP="00407B21">
            <w:pPr>
              <w:pStyle w:val="TabeladesnoUMAR"/>
            </w:pPr>
            <w:r w:rsidRPr="00355D96">
              <w:t>17,1</w:t>
            </w:r>
          </w:p>
        </w:tc>
        <w:tc>
          <w:tcPr>
            <w:cnfStyle w:val="000010000000" w:firstRow="0" w:lastRow="0" w:firstColumn="0" w:lastColumn="0" w:oddVBand="1" w:evenVBand="0" w:oddHBand="0" w:evenHBand="0" w:firstRowFirstColumn="0" w:firstRowLastColumn="0" w:lastRowFirstColumn="0" w:lastRowLastColumn="0"/>
            <w:tcW w:w="738" w:type="dxa"/>
          </w:tcPr>
          <w:p w14:paraId="1C83AEE8" w14:textId="77777777" w:rsidR="00127982" w:rsidRPr="00355D96" w:rsidRDefault="00127982" w:rsidP="00407B21">
            <w:pPr>
              <w:pStyle w:val="TabeladesnoUMAR"/>
            </w:pPr>
            <w:r w:rsidRPr="00355D96">
              <w:t>17,4</w:t>
            </w:r>
          </w:p>
        </w:tc>
        <w:tc>
          <w:tcPr>
            <w:cnfStyle w:val="000001000000" w:firstRow="0" w:lastRow="0" w:firstColumn="0" w:lastColumn="0" w:oddVBand="0" w:evenVBand="1" w:oddHBand="0" w:evenHBand="0" w:firstRowFirstColumn="0" w:firstRowLastColumn="0" w:lastRowFirstColumn="0" w:lastRowLastColumn="0"/>
            <w:tcW w:w="738" w:type="dxa"/>
          </w:tcPr>
          <w:p w14:paraId="02D9ABF6" w14:textId="77777777" w:rsidR="00127982" w:rsidRPr="00355D96" w:rsidRDefault="00127982" w:rsidP="00407B21">
            <w:pPr>
              <w:pStyle w:val="TabeladesnoUMAR"/>
            </w:pPr>
            <w:r w:rsidRPr="00355D96">
              <w:t>17,3</w:t>
            </w:r>
          </w:p>
        </w:tc>
        <w:tc>
          <w:tcPr>
            <w:cnfStyle w:val="000010000000" w:firstRow="0" w:lastRow="0" w:firstColumn="0" w:lastColumn="0" w:oddVBand="1" w:evenVBand="0" w:oddHBand="0" w:evenHBand="0" w:firstRowFirstColumn="0" w:firstRowLastColumn="0" w:lastRowFirstColumn="0" w:lastRowLastColumn="0"/>
            <w:tcW w:w="738" w:type="dxa"/>
          </w:tcPr>
          <w:p w14:paraId="73A6C040" w14:textId="77777777" w:rsidR="00127982" w:rsidRPr="00355D96" w:rsidRDefault="00127982" w:rsidP="00407B21">
            <w:pPr>
              <w:pStyle w:val="TabeladesnoUMAR"/>
            </w:pPr>
            <w:r>
              <w:t>17,1</w:t>
            </w:r>
          </w:p>
        </w:tc>
        <w:tc>
          <w:tcPr>
            <w:cnfStyle w:val="000100000000" w:firstRow="0" w:lastRow="0" w:firstColumn="0" w:lastColumn="1" w:oddVBand="0" w:evenVBand="0" w:oddHBand="0" w:evenHBand="0" w:firstRowFirstColumn="0" w:firstRowLastColumn="0" w:lastRowFirstColumn="0" w:lastRowLastColumn="0"/>
            <w:tcW w:w="738" w:type="dxa"/>
          </w:tcPr>
          <w:p w14:paraId="5F2A46D2" w14:textId="77777777" w:rsidR="00127982" w:rsidRPr="00355D96" w:rsidRDefault="00127982" w:rsidP="00407B21">
            <w:pPr>
              <w:pStyle w:val="TabeladesnoUMAR"/>
            </w:pPr>
            <w:r>
              <w:t>17,0</w:t>
            </w:r>
          </w:p>
        </w:tc>
      </w:tr>
      <w:tr w:rsidR="00127982" w:rsidRPr="00355D96" w14:paraId="71715729"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36927F86" w14:textId="77777777" w:rsidR="00127982" w:rsidRPr="00355D96" w:rsidRDefault="00127982" w:rsidP="00407B21">
            <w:pPr>
              <w:pStyle w:val="TabelalevoUMAR"/>
            </w:pPr>
            <w:r w:rsidRPr="00355D96">
              <w:t>Delež dodane vrednosti v vseh družbah (v %)</w:t>
            </w:r>
          </w:p>
        </w:tc>
        <w:tc>
          <w:tcPr>
            <w:cnfStyle w:val="000010000000" w:firstRow="0" w:lastRow="0" w:firstColumn="0" w:lastColumn="0" w:oddVBand="1" w:evenVBand="0" w:oddHBand="0" w:evenHBand="0" w:firstRowFirstColumn="0" w:firstRowLastColumn="0" w:lastRowFirstColumn="0" w:lastRowLastColumn="0"/>
            <w:tcW w:w="737" w:type="dxa"/>
          </w:tcPr>
          <w:p w14:paraId="2D330070" w14:textId="77777777" w:rsidR="00127982" w:rsidRPr="00355D96" w:rsidRDefault="00127982" w:rsidP="00407B21">
            <w:pPr>
              <w:pStyle w:val="TabeladesnoUMAR"/>
            </w:pPr>
            <w:r w:rsidRPr="00355D96">
              <w:t>18,9</w:t>
            </w:r>
          </w:p>
        </w:tc>
        <w:tc>
          <w:tcPr>
            <w:cnfStyle w:val="000001000000" w:firstRow="0" w:lastRow="0" w:firstColumn="0" w:lastColumn="0" w:oddVBand="0" w:evenVBand="1" w:oddHBand="0" w:evenHBand="0" w:firstRowFirstColumn="0" w:firstRowLastColumn="0" w:lastRowFirstColumn="0" w:lastRowLastColumn="0"/>
            <w:tcW w:w="738" w:type="dxa"/>
          </w:tcPr>
          <w:p w14:paraId="18A48A7A" w14:textId="77777777" w:rsidR="00127982" w:rsidRPr="00355D96" w:rsidRDefault="00127982" w:rsidP="00407B21">
            <w:pPr>
              <w:pStyle w:val="TabeladesnoUMAR"/>
            </w:pPr>
            <w:r w:rsidRPr="00355D96">
              <w:t>18,7</w:t>
            </w:r>
          </w:p>
        </w:tc>
        <w:tc>
          <w:tcPr>
            <w:cnfStyle w:val="000010000000" w:firstRow="0" w:lastRow="0" w:firstColumn="0" w:lastColumn="0" w:oddVBand="1" w:evenVBand="0" w:oddHBand="0" w:evenHBand="0" w:firstRowFirstColumn="0" w:firstRowLastColumn="0" w:lastRowFirstColumn="0" w:lastRowLastColumn="0"/>
            <w:tcW w:w="738" w:type="dxa"/>
          </w:tcPr>
          <w:p w14:paraId="7B61303A" w14:textId="77777777" w:rsidR="00127982" w:rsidRPr="00355D96" w:rsidRDefault="00127982" w:rsidP="00407B21">
            <w:pPr>
              <w:pStyle w:val="TabeladesnoUMAR"/>
            </w:pPr>
            <w:r w:rsidRPr="00355D96">
              <w:t xml:space="preserve"> 17,1</w:t>
            </w:r>
          </w:p>
        </w:tc>
        <w:tc>
          <w:tcPr>
            <w:cnfStyle w:val="000001000000" w:firstRow="0" w:lastRow="0" w:firstColumn="0" w:lastColumn="0" w:oddVBand="0" w:evenVBand="1" w:oddHBand="0" w:evenHBand="0" w:firstRowFirstColumn="0" w:firstRowLastColumn="0" w:lastRowFirstColumn="0" w:lastRowLastColumn="0"/>
            <w:tcW w:w="738" w:type="dxa"/>
          </w:tcPr>
          <w:p w14:paraId="5A840CF7" w14:textId="77777777" w:rsidR="00127982" w:rsidRPr="00355D96" w:rsidRDefault="00127982" w:rsidP="00407B21">
            <w:pPr>
              <w:pStyle w:val="TabeladesnoUMAR"/>
            </w:pPr>
            <w:r w:rsidRPr="00355D96">
              <w:t>17,6</w:t>
            </w:r>
          </w:p>
        </w:tc>
        <w:tc>
          <w:tcPr>
            <w:cnfStyle w:val="000010000000" w:firstRow="0" w:lastRow="0" w:firstColumn="0" w:lastColumn="0" w:oddVBand="1" w:evenVBand="0" w:oddHBand="0" w:evenHBand="0" w:firstRowFirstColumn="0" w:firstRowLastColumn="0" w:lastRowFirstColumn="0" w:lastRowLastColumn="0"/>
            <w:tcW w:w="738" w:type="dxa"/>
          </w:tcPr>
          <w:p w14:paraId="16F24F27" w14:textId="77777777" w:rsidR="00127982" w:rsidRPr="00355D96" w:rsidRDefault="00127982" w:rsidP="00407B21">
            <w:pPr>
              <w:pStyle w:val="TabeladesnoUMAR"/>
            </w:pPr>
            <w:r w:rsidRPr="00355D96">
              <w:t>17,9</w:t>
            </w:r>
          </w:p>
        </w:tc>
        <w:tc>
          <w:tcPr>
            <w:cnfStyle w:val="000001000000" w:firstRow="0" w:lastRow="0" w:firstColumn="0" w:lastColumn="0" w:oddVBand="0" w:evenVBand="1" w:oddHBand="0" w:evenHBand="0" w:firstRowFirstColumn="0" w:firstRowLastColumn="0" w:lastRowFirstColumn="0" w:lastRowLastColumn="0"/>
            <w:tcW w:w="738" w:type="dxa"/>
          </w:tcPr>
          <w:p w14:paraId="68D34276" w14:textId="77777777" w:rsidR="00127982" w:rsidRPr="00355D96" w:rsidRDefault="00127982" w:rsidP="00407B21">
            <w:pPr>
              <w:pStyle w:val="TabeladesnoUMAR"/>
            </w:pPr>
            <w:r w:rsidRPr="00355D96">
              <w:t>18,7</w:t>
            </w:r>
          </w:p>
        </w:tc>
        <w:tc>
          <w:tcPr>
            <w:cnfStyle w:val="000010000000" w:firstRow="0" w:lastRow="0" w:firstColumn="0" w:lastColumn="0" w:oddVBand="1" w:evenVBand="0" w:oddHBand="0" w:evenHBand="0" w:firstRowFirstColumn="0" w:firstRowLastColumn="0" w:lastRowFirstColumn="0" w:lastRowLastColumn="0"/>
            <w:tcW w:w="738" w:type="dxa"/>
          </w:tcPr>
          <w:p w14:paraId="0BA9AB05" w14:textId="77777777" w:rsidR="00127982" w:rsidRPr="00355D96" w:rsidRDefault="00127982" w:rsidP="00407B21">
            <w:pPr>
              <w:pStyle w:val="TabeladesnoUMAR"/>
            </w:pPr>
            <w:r>
              <w:t>17,9</w:t>
            </w:r>
          </w:p>
        </w:tc>
        <w:tc>
          <w:tcPr>
            <w:cnfStyle w:val="000100000000" w:firstRow="0" w:lastRow="0" w:firstColumn="0" w:lastColumn="1" w:oddVBand="0" w:evenVBand="0" w:oddHBand="0" w:evenHBand="0" w:firstRowFirstColumn="0" w:firstRowLastColumn="0" w:lastRowFirstColumn="0" w:lastRowLastColumn="0"/>
            <w:tcW w:w="738" w:type="dxa"/>
          </w:tcPr>
          <w:p w14:paraId="0712A5DA" w14:textId="77777777" w:rsidR="00127982" w:rsidRPr="00355D96" w:rsidRDefault="00127982" w:rsidP="00407B21">
            <w:pPr>
              <w:pStyle w:val="TabeladesnoUMAR"/>
            </w:pPr>
            <w:r>
              <w:t>17,6</w:t>
            </w:r>
          </w:p>
        </w:tc>
      </w:tr>
      <w:tr w:rsidR="00127982" w:rsidRPr="00355D96" w14:paraId="2BD22CD9"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2429BE3A" w14:textId="77777777" w:rsidR="00127982" w:rsidRPr="00355D96" w:rsidRDefault="00127982" w:rsidP="00407B21">
            <w:pPr>
              <w:pStyle w:val="TabelalevoUMAR"/>
            </w:pPr>
            <w:r w:rsidRPr="00355D96">
              <w:t>Neto</w:t>
            </w:r>
            <w:r w:rsidRPr="00355D96">
              <w:rPr>
                <w:vertAlign w:val="superscript"/>
              </w:rPr>
              <w:t>2</w:t>
            </w:r>
            <w:r w:rsidRPr="00355D96">
              <w:t xml:space="preserve"> čisti dobiček/izguba (v mio EUR)</w:t>
            </w:r>
          </w:p>
        </w:tc>
        <w:tc>
          <w:tcPr>
            <w:cnfStyle w:val="000010000000" w:firstRow="0" w:lastRow="0" w:firstColumn="0" w:lastColumn="0" w:oddVBand="1" w:evenVBand="0" w:oddHBand="0" w:evenHBand="0" w:firstRowFirstColumn="0" w:firstRowLastColumn="0" w:lastRowFirstColumn="0" w:lastRowLastColumn="0"/>
            <w:tcW w:w="737" w:type="dxa"/>
          </w:tcPr>
          <w:p w14:paraId="70737422" w14:textId="77777777" w:rsidR="00127982" w:rsidRPr="00355D96" w:rsidRDefault="00127982" w:rsidP="00407B21">
            <w:pPr>
              <w:pStyle w:val="TabeladesnoUMAR"/>
            </w:pPr>
            <w:r w:rsidRPr="00355D96">
              <w:t>443,5</w:t>
            </w:r>
          </w:p>
        </w:tc>
        <w:tc>
          <w:tcPr>
            <w:cnfStyle w:val="000001000000" w:firstRow="0" w:lastRow="0" w:firstColumn="0" w:lastColumn="0" w:oddVBand="0" w:evenVBand="1" w:oddHBand="0" w:evenHBand="0" w:firstRowFirstColumn="0" w:firstRowLastColumn="0" w:lastRowFirstColumn="0" w:lastRowLastColumn="0"/>
            <w:tcW w:w="738" w:type="dxa"/>
          </w:tcPr>
          <w:p w14:paraId="183B3DFB" w14:textId="77777777" w:rsidR="00127982" w:rsidRPr="00355D96" w:rsidRDefault="00127982" w:rsidP="00407B21">
            <w:pPr>
              <w:pStyle w:val="TabeladesnoUMAR"/>
            </w:pPr>
            <w:r w:rsidRPr="00355D96">
              <w:t>155,0</w:t>
            </w:r>
          </w:p>
        </w:tc>
        <w:tc>
          <w:tcPr>
            <w:cnfStyle w:val="000010000000" w:firstRow="0" w:lastRow="0" w:firstColumn="0" w:lastColumn="0" w:oddVBand="1" w:evenVBand="0" w:oddHBand="0" w:evenHBand="0" w:firstRowFirstColumn="0" w:firstRowLastColumn="0" w:lastRowFirstColumn="0" w:lastRowLastColumn="0"/>
            <w:tcW w:w="738" w:type="dxa"/>
          </w:tcPr>
          <w:p w14:paraId="33C582F4" w14:textId="77777777" w:rsidR="00127982" w:rsidRPr="00355D96" w:rsidRDefault="00127982" w:rsidP="00407B21">
            <w:pPr>
              <w:pStyle w:val="TabeladesnoUMAR"/>
            </w:pPr>
            <w:r w:rsidRPr="00355D96">
              <w:t>521,3</w:t>
            </w:r>
          </w:p>
        </w:tc>
        <w:tc>
          <w:tcPr>
            <w:cnfStyle w:val="000001000000" w:firstRow="0" w:lastRow="0" w:firstColumn="0" w:lastColumn="0" w:oddVBand="0" w:evenVBand="1" w:oddHBand="0" w:evenHBand="0" w:firstRowFirstColumn="0" w:firstRowLastColumn="0" w:lastRowFirstColumn="0" w:lastRowLastColumn="0"/>
            <w:tcW w:w="738" w:type="dxa"/>
          </w:tcPr>
          <w:p w14:paraId="3B3D8A08" w14:textId="77777777" w:rsidR="00127982" w:rsidRPr="00355D96" w:rsidRDefault="00127982" w:rsidP="00407B21">
            <w:pPr>
              <w:pStyle w:val="TabeladesnoUMAR"/>
            </w:pPr>
            <w:r w:rsidRPr="00355D96">
              <w:t>793,7</w:t>
            </w:r>
          </w:p>
        </w:tc>
        <w:tc>
          <w:tcPr>
            <w:cnfStyle w:val="000010000000" w:firstRow="0" w:lastRow="0" w:firstColumn="0" w:lastColumn="0" w:oddVBand="1" w:evenVBand="0" w:oddHBand="0" w:evenHBand="0" w:firstRowFirstColumn="0" w:firstRowLastColumn="0" w:lastRowFirstColumn="0" w:lastRowLastColumn="0"/>
            <w:tcW w:w="738" w:type="dxa"/>
          </w:tcPr>
          <w:p w14:paraId="42E52202" w14:textId="77777777" w:rsidR="00127982" w:rsidRPr="00355D96" w:rsidRDefault="00127982" w:rsidP="00407B21">
            <w:pPr>
              <w:pStyle w:val="TabeladesnoUMAR"/>
            </w:pPr>
            <w:r w:rsidRPr="00355D96">
              <w:t>641,9</w:t>
            </w:r>
          </w:p>
        </w:tc>
        <w:tc>
          <w:tcPr>
            <w:cnfStyle w:val="000001000000" w:firstRow="0" w:lastRow="0" w:firstColumn="0" w:lastColumn="0" w:oddVBand="0" w:evenVBand="1" w:oddHBand="0" w:evenHBand="0" w:firstRowFirstColumn="0" w:firstRowLastColumn="0" w:lastRowFirstColumn="0" w:lastRowLastColumn="0"/>
            <w:tcW w:w="738" w:type="dxa"/>
          </w:tcPr>
          <w:p w14:paraId="6B567D0B" w14:textId="77777777" w:rsidR="00127982" w:rsidRPr="00355D96" w:rsidRDefault="00127982" w:rsidP="00407B21">
            <w:pPr>
              <w:pStyle w:val="TabeladesnoUMAR"/>
            </w:pPr>
            <w:r w:rsidRPr="00355D96">
              <w:t>1.326,4</w:t>
            </w:r>
          </w:p>
        </w:tc>
        <w:tc>
          <w:tcPr>
            <w:cnfStyle w:val="000010000000" w:firstRow="0" w:lastRow="0" w:firstColumn="0" w:lastColumn="0" w:oddVBand="1" w:evenVBand="0" w:oddHBand="0" w:evenHBand="0" w:firstRowFirstColumn="0" w:firstRowLastColumn="0" w:lastRowFirstColumn="0" w:lastRowLastColumn="0"/>
            <w:tcW w:w="738" w:type="dxa"/>
          </w:tcPr>
          <w:p w14:paraId="7007F26C" w14:textId="77777777" w:rsidR="00127982" w:rsidRPr="00355D96" w:rsidRDefault="00127982" w:rsidP="00407B21">
            <w:pPr>
              <w:pStyle w:val="TabeladesnoUMAR"/>
            </w:pPr>
            <w:r>
              <w:t>1.220,4</w:t>
            </w:r>
          </w:p>
        </w:tc>
        <w:tc>
          <w:tcPr>
            <w:cnfStyle w:val="000100000000" w:firstRow="0" w:lastRow="0" w:firstColumn="0" w:lastColumn="1" w:oddVBand="0" w:evenVBand="0" w:oddHBand="0" w:evenHBand="0" w:firstRowFirstColumn="0" w:firstRowLastColumn="0" w:lastRowFirstColumn="0" w:lastRowLastColumn="0"/>
            <w:tcW w:w="738" w:type="dxa"/>
          </w:tcPr>
          <w:p w14:paraId="7BEC1AEF" w14:textId="77777777" w:rsidR="00127982" w:rsidRPr="00355D96" w:rsidRDefault="00127982" w:rsidP="00407B21">
            <w:pPr>
              <w:pStyle w:val="TabeladesnoUMAR"/>
            </w:pPr>
            <w:r>
              <w:t>1.273,3</w:t>
            </w:r>
          </w:p>
        </w:tc>
      </w:tr>
      <w:tr w:rsidR="00127982" w:rsidRPr="00355D96" w14:paraId="1D38C89B"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9406" w:type="dxa"/>
            <w:gridSpan w:val="9"/>
          </w:tcPr>
          <w:p w14:paraId="390F5B92" w14:textId="77777777" w:rsidR="00127982" w:rsidRPr="00355D96" w:rsidRDefault="00127982" w:rsidP="00407B21">
            <w:pPr>
              <w:pStyle w:val="TabelalevoUMAR"/>
            </w:pPr>
            <w:r w:rsidRPr="00355D96">
              <w:t>VELIKOST</w:t>
            </w:r>
          </w:p>
        </w:tc>
      </w:tr>
      <w:tr w:rsidR="00127982" w:rsidRPr="00355D96" w14:paraId="6B8A47D4"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2674B09C" w14:textId="77777777" w:rsidR="00127982" w:rsidRPr="00355D96" w:rsidRDefault="00127982" w:rsidP="00407B21">
            <w:pPr>
              <w:pStyle w:val="TabelalevoUMAR"/>
            </w:pPr>
            <w:r w:rsidRPr="00355D96">
              <w:t>Sredstva/podjetje (v tisoč EUR)</w:t>
            </w:r>
          </w:p>
        </w:tc>
        <w:tc>
          <w:tcPr>
            <w:cnfStyle w:val="000010000000" w:firstRow="0" w:lastRow="0" w:firstColumn="0" w:lastColumn="0" w:oddVBand="1" w:evenVBand="0" w:oddHBand="0" w:evenHBand="0" w:firstRowFirstColumn="0" w:firstRowLastColumn="0" w:lastRowFirstColumn="0" w:lastRowLastColumn="0"/>
            <w:tcW w:w="737" w:type="dxa"/>
          </w:tcPr>
          <w:p w14:paraId="65A82364" w14:textId="77777777" w:rsidR="00127982" w:rsidRPr="00355D96" w:rsidRDefault="00127982" w:rsidP="00407B21">
            <w:pPr>
              <w:pStyle w:val="TabeladesnoUMAR"/>
            </w:pPr>
            <w:r w:rsidRPr="00355D96">
              <w:t>1.356</w:t>
            </w:r>
          </w:p>
        </w:tc>
        <w:tc>
          <w:tcPr>
            <w:cnfStyle w:val="000001000000" w:firstRow="0" w:lastRow="0" w:firstColumn="0" w:lastColumn="0" w:oddVBand="0" w:evenVBand="1" w:oddHBand="0" w:evenHBand="0" w:firstRowFirstColumn="0" w:firstRowLastColumn="0" w:lastRowFirstColumn="0" w:lastRowLastColumn="0"/>
            <w:tcW w:w="738" w:type="dxa"/>
          </w:tcPr>
          <w:p w14:paraId="7E62A18B" w14:textId="77777777" w:rsidR="00127982" w:rsidRPr="00355D96" w:rsidRDefault="00127982" w:rsidP="00407B21">
            <w:pPr>
              <w:pStyle w:val="TabeladesnoUMAR"/>
            </w:pPr>
            <w:r w:rsidRPr="00355D96">
              <w:t>1.274</w:t>
            </w:r>
          </w:p>
        </w:tc>
        <w:tc>
          <w:tcPr>
            <w:cnfStyle w:val="000010000000" w:firstRow="0" w:lastRow="0" w:firstColumn="0" w:lastColumn="0" w:oddVBand="1" w:evenVBand="0" w:oddHBand="0" w:evenHBand="0" w:firstRowFirstColumn="0" w:firstRowLastColumn="0" w:lastRowFirstColumn="0" w:lastRowLastColumn="0"/>
            <w:tcW w:w="738" w:type="dxa"/>
          </w:tcPr>
          <w:p w14:paraId="28DC591E" w14:textId="77777777" w:rsidR="00127982" w:rsidRPr="00355D96" w:rsidRDefault="00127982" w:rsidP="00407B21">
            <w:pPr>
              <w:pStyle w:val="TabeladesnoUMAR"/>
            </w:pPr>
            <w:r w:rsidRPr="00355D96">
              <w:t>1.038</w:t>
            </w:r>
          </w:p>
        </w:tc>
        <w:tc>
          <w:tcPr>
            <w:cnfStyle w:val="000001000000" w:firstRow="0" w:lastRow="0" w:firstColumn="0" w:lastColumn="0" w:oddVBand="0" w:evenVBand="1" w:oddHBand="0" w:evenHBand="0" w:firstRowFirstColumn="0" w:firstRowLastColumn="0" w:lastRowFirstColumn="0" w:lastRowLastColumn="0"/>
            <w:tcW w:w="738" w:type="dxa"/>
          </w:tcPr>
          <w:p w14:paraId="2853A50C" w14:textId="77777777" w:rsidR="00127982" w:rsidRPr="00355D96" w:rsidRDefault="00127982" w:rsidP="00407B21">
            <w:pPr>
              <w:pStyle w:val="TabeladesnoUMAR"/>
            </w:pPr>
            <w:r w:rsidRPr="00355D96">
              <w:t>1.292</w:t>
            </w:r>
          </w:p>
        </w:tc>
        <w:tc>
          <w:tcPr>
            <w:cnfStyle w:val="000010000000" w:firstRow="0" w:lastRow="0" w:firstColumn="0" w:lastColumn="0" w:oddVBand="1" w:evenVBand="0" w:oddHBand="0" w:evenHBand="0" w:firstRowFirstColumn="0" w:firstRowLastColumn="0" w:lastRowFirstColumn="0" w:lastRowLastColumn="0"/>
            <w:tcW w:w="738" w:type="dxa"/>
          </w:tcPr>
          <w:p w14:paraId="2BEF8C56" w14:textId="77777777" w:rsidR="00127982" w:rsidRPr="00355D96" w:rsidRDefault="00127982" w:rsidP="00407B21">
            <w:pPr>
              <w:pStyle w:val="TabeladesnoUMAR"/>
            </w:pPr>
            <w:r w:rsidRPr="00355D96">
              <w:t>1.313</w:t>
            </w:r>
          </w:p>
        </w:tc>
        <w:tc>
          <w:tcPr>
            <w:cnfStyle w:val="000001000000" w:firstRow="0" w:lastRow="0" w:firstColumn="0" w:lastColumn="0" w:oddVBand="0" w:evenVBand="1" w:oddHBand="0" w:evenHBand="0" w:firstRowFirstColumn="0" w:firstRowLastColumn="0" w:lastRowFirstColumn="0" w:lastRowLastColumn="0"/>
            <w:tcW w:w="738" w:type="dxa"/>
          </w:tcPr>
          <w:p w14:paraId="1FE783F4" w14:textId="77777777" w:rsidR="00127982" w:rsidRPr="00355D96" w:rsidRDefault="00127982" w:rsidP="00407B21">
            <w:pPr>
              <w:pStyle w:val="TabeladesnoUMAR"/>
            </w:pPr>
            <w:r w:rsidRPr="00355D96">
              <w:t>1.444</w:t>
            </w:r>
          </w:p>
        </w:tc>
        <w:tc>
          <w:tcPr>
            <w:cnfStyle w:val="000010000000" w:firstRow="0" w:lastRow="0" w:firstColumn="0" w:lastColumn="0" w:oddVBand="1" w:evenVBand="0" w:oddHBand="0" w:evenHBand="0" w:firstRowFirstColumn="0" w:firstRowLastColumn="0" w:lastRowFirstColumn="0" w:lastRowLastColumn="0"/>
            <w:tcW w:w="738" w:type="dxa"/>
          </w:tcPr>
          <w:p w14:paraId="0FBDF0C6" w14:textId="77777777" w:rsidR="00127982" w:rsidRPr="00355D96" w:rsidRDefault="00127982" w:rsidP="00407B21">
            <w:pPr>
              <w:pStyle w:val="TabeladesnoUMAR"/>
            </w:pPr>
            <w:r>
              <w:t>1.566</w:t>
            </w:r>
          </w:p>
        </w:tc>
        <w:tc>
          <w:tcPr>
            <w:cnfStyle w:val="000100000000" w:firstRow="0" w:lastRow="0" w:firstColumn="0" w:lastColumn="1" w:oddVBand="0" w:evenVBand="0" w:oddHBand="0" w:evenHBand="0" w:firstRowFirstColumn="0" w:firstRowLastColumn="0" w:lastRowFirstColumn="0" w:lastRowLastColumn="0"/>
            <w:tcW w:w="738" w:type="dxa"/>
          </w:tcPr>
          <w:p w14:paraId="04CA9A33" w14:textId="77777777" w:rsidR="00127982" w:rsidRPr="00355D96" w:rsidRDefault="00127982" w:rsidP="00407B21">
            <w:pPr>
              <w:pStyle w:val="TabeladesnoUMAR"/>
            </w:pPr>
            <w:r>
              <w:t>1.575</w:t>
            </w:r>
          </w:p>
        </w:tc>
      </w:tr>
      <w:tr w:rsidR="00127982" w:rsidRPr="00355D96" w14:paraId="0BBE68DF"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32F27DC9" w14:textId="77777777" w:rsidR="00127982" w:rsidRPr="00355D96" w:rsidRDefault="00127982" w:rsidP="00407B21">
            <w:pPr>
              <w:pStyle w:val="TabelalevoUMAR"/>
            </w:pPr>
            <w:r w:rsidRPr="00355D96">
              <w:t>Število zaposlenih/podjetje</w:t>
            </w:r>
          </w:p>
        </w:tc>
        <w:tc>
          <w:tcPr>
            <w:cnfStyle w:val="000010000000" w:firstRow="0" w:lastRow="0" w:firstColumn="0" w:lastColumn="0" w:oddVBand="1" w:evenVBand="0" w:oddHBand="0" w:evenHBand="0" w:firstRowFirstColumn="0" w:firstRowLastColumn="0" w:lastRowFirstColumn="0" w:lastRowLastColumn="0"/>
            <w:tcW w:w="737" w:type="dxa"/>
          </w:tcPr>
          <w:p w14:paraId="1BD065E8" w14:textId="77777777" w:rsidR="00127982" w:rsidRPr="00355D96" w:rsidRDefault="00127982" w:rsidP="00407B21">
            <w:pPr>
              <w:pStyle w:val="TabeladesnoUMAR"/>
            </w:pPr>
            <w:r w:rsidRPr="00355D96">
              <w:t>6,7</w:t>
            </w:r>
          </w:p>
        </w:tc>
        <w:tc>
          <w:tcPr>
            <w:cnfStyle w:val="000001000000" w:firstRow="0" w:lastRow="0" w:firstColumn="0" w:lastColumn="0" w:oddVBand="0" w:evenVBand="1" w:oddHBand="0" w:evenHBand="0" w:firstRowFirstColumn="0" w:firstRowLastColumn="0" w:lastRowFirstColumn="0" w:lastRowLastColumn="0"/>
            <w:tcW w:w="738" w:type="dxa"/>
          </w:tcPr>
          <w:p w14:paraId="24E23F9D" w14:textId="77777777" w:rsidR="00127982" w:rsidRPr="00355D96" w:rsidRDefault="00127982" w:rsidP="00407B21">
            <w:pPr>
              <w:pStyle w:val="TabeladesnoUMAR"/>
            </w:pPr>
            <w:r w:rsidRPr="00355D96">
              <w:t>6,2</w:t>
            </w:r>
          </w:p>
        </w:tc>
        <w:tc>
          <w:tcPr>
            <w:cnfStyle w:val="000010000000" w:firstRow="0" w:lastRow="0" w:firstColumn="0" w:lastColumn="0" w:oddVBand="1" w:evenVBand="0" w:oddHBand="0" w:evenHBand="0" w:firstRowFirstColumn="0" w:firstRowLastColumn="0" w:lastRowFirstColumn="0" w:lastRowLastColumn="0"/>
            <w:tcW w:w="738" w:type="dxa"/>
          </w:tcPr>
          <w:p w14:paraId="16AF24B5" w14:textId="77777777" w:rsidR="00127982" w:rsidRPr="00355D96" w:rsidRDefault="00127982" w:rsidP="00407B21">
            <w:pPr>
              <w:pStyle w:val="TabeladesnoUMAR"/>
            </w:pPr>
            <w:r w:rsidRPr="00355D96">
              <w:t>5,2</w:t>
            </w:r>
          </w:p>
        </w:tc>
        <w:tc>
          <w:tcPr>
            <w:cnfStyle w:val="000001000000" w:firstRow="0" w:lastRow="0" w:firstColumn="0" w:lastColumn="0" w:oddVBand="0" w:evenVBand="1" w:oddHBand="0" w:evenHBand="0" w:firstRowFirstColumn="0" w:firstRowLastColumn="0" w:lastRowFirstColumn="0" w:lastRowLastColumn="0"/>
            <w:tcW w:w="738" w:type="dxa"/>
          </w:tcPr>
          <w:p w14:paraId="581FEFD8" w14:textId="77777777" w:rsidR="00127982" w:rsidRPr="00355D96" w:rsidRDefault="00127982" w:rsidP="00407B21">
            <w:pPr>
              <w:pStyle w:val="TabeladesnoUMAR"/>
            </w:pPr>
            <w:r w:rsidRPr="00355D96">
              <w:t>5,9</w:t>
            </w:r>
          </w:p>
        </w:tc>
        <w:tc>
          <w:tcPr>
            <w:cnfStyle w:val="000010000000" w:firstRow="0" w:lastRow="0" w:firstColumn="0" w:lastColumn="0" w:oddVBand="1" w:evenVBand="0" w:oddHBand="0" w:evenHBand="0" w:firstRowFirstColumn="0" w:firstRowLastColumn="0" w:lastRowFirstColumn="0" w:lastRowLastColumn="0"/>
            <w:tcW w:w="738" w:type="dxa"/>
          </w:tcPr>
          <w:p w14:paraId="5C41253B" w14:textId="77777777" w:rsidR="00127982" w:rsidRPr="00355D96" w:rsidRDefault="00127982" w:rsidP="00407B21">
            <w:pPr>
              <w:pStyle w:val="TabeladesnoUMAR"/>
            </w:pPr>
            <w:r w:rsidRPr="00355D96">
              <w:t>5,9</w:t>
            </w:r>
          </w:p>
        </w:tc>
        <w:tc>
          <w:tcPr>
            <w:cnfStyle w:val="000001000000" w:firstRow="0" w:lastRow="0" w:firstColumn="0" w:lastColumn="0" w:oddVBand="0" w:evenVBand="1" w:oddHBand="0" w:evenHBand="0" w:firstRowFirstColumn="0" w:firstRowLastColumn="0" w:lastRowFirstColumn="0" w:lastRowLastColumn="0"/>
            <w:tcW w:w="738" w:type="dxa"/>
          </w:tcPr>
          <w:p w14:paraId="4A3E3AA0" w14:textId="77777777" w:rsidR="00127982" w:rsidRPr="00355D96" w:rsidRDefault="00127982" w:rsidP="00407B21">
            <w:pPr>
              <w:pStyle w:val="TabeladesnoUMAR"/>
            </w:pPr>
            <w:r w:rsidRPr="00355D96">
              <w:t>6,0</w:t>
            </w:r>
          </w:p>
        </w:tc>
        <w:tc>
          <w:tcPr>
            <w:cnfStyle w:val="000010000000" w:firstRow="0" w:lastRow="0" w:firstColumn="0" w:lastColumn="0" w:oddVBand="1" w:evenVBand="0" w:oddHBand="0" w:evenHBand="0" w:firstRowFirstColumn="0" w:firstRowLastColumn="0" w:lastRowFirstColumn="0" w:lastRowLastColumn="0"/>
            <w:tcW w:w="738" w:type="dxa"/>
          </w:tcPr>
          <w:p w14:paraId="505BDF12" w14:textId="77777777" w:rsidR="00127982" w:rsidRPr="00355D96" w:rsidRDefault="00127982" w:rsidP="00407B21">
            <w:pPr>
              <w:pStyle w:val="TabeladesnoUMAR"/>
            </w:pPr>
            <w:r>
              <w:t>6,2</w:t>
            </w:r>
          </w:p>
        </w:tc>
        <w:tc>
          <w:tcPr>
            <w:cnfStyle w:val="000100000000" w:firstRow="0" w:lastRow="0" w:firstColumn="0" w:lastColumn="1" w:oddVBand="0" w:evenVBand="0" w:oddHBand="0" w:evenHBand="0" w:firstRowFirstColumn="0" w:firstRowLastColumn="0" w:lastRowFirstColumn="0" w:lastRowLastColumn="0"/>
            <w:tcW w:w="738" w:type="dxa"/>
          </w:tcPr>
          <w:p w14:paraId="6F89924C" w14:textId="77777777" w:rsidR="00127982" w:rsidRPr="00355D96" w:rsidRDefault="00127982" w:rsidP="00407B21">
            <w:pPr>
              <w:pStyle w:val="TabeladesnoUMAR"/>
            </w:pPr>
            <w:r>
              <w:t>6,2</w:t>
            </w:r>
          </w:p>
        </w:tc>
      </w:tr>
      <w:tr w:rsidR="00127982" w:rsidRPr="00355D96" w14:paraId="3576E846"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9406" w:type="dxa"/>
            <w:gridSpan w:val="9"/>
          </w:tcPr>
          <w:p w14:paraId="22C9DED9" w14:textId="77777777" w:rsidR="00127982" w:rsidRPr="00355D96" w:rsidRDefault="00127982" w:rsidP="00407B21">
            <w:pPr>
              <w:pStyle w:val="TabelalevoUMAR"/>
            </w:pPr>
            <w:r w:rsidRPr="00355D96">
              <w:t>OPREMLJENOST DELA S SREDSTVI</w:t>
            </w:r>
          </w:p>
        </w:tc>
      </w:tr>
      <w:tr w:rsidR="00127982" w:rsidRPr="00355D96" w14:paraId="7B975475"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2DB99D2C" w14:textId="77777777" w:rsidR="00127982" w:rsidRPr="00355D96" w:rsidRDefault="00127982" w:rsidP="00407B21">
            <w:pPr>
              <w:pStyle w:val="TabelalevoUMAR"/>
            </w:pPr>
            <w:r w:rsidRPr="00355D96">
              <w:t>Povprečna sredstva/zaposlenega (v tisoč EUR)</w:t>
            </w:r>
          </w:p>
        </w:tc>
        <w:tc>
          <w:tcPr>
            <w:cnfStyle w:val="000010000000" w:firstRow="0" w:lastRow="0" w:firstColumn="0" w:lastColumn="0" w:oddVBand="1" w:evenVBand="0" w:oddHBand="0" w:evenHBand="0" w:firstRowFirstColumn="0" w:firstRowLastColumn="0" w:lastRowFirstColumn="0" w:lastRowLastColumn="0"/>
            <w:tcW w:w="737" w:type="dxa"/>
          </w:tcPr>
          <w:p w14:paraId="44CF6F5C" w14:textId="77777777" w:rsidR="00127982" w:rsidRPr="00355D96" w:rsidRDefault="00127982" w:rsidP="00407B21">
            <w:pPr>
              <w:pStyle w:val="TabeladesnoUMAR"/>
            </w:pPr>
            <w:r w:rsidRPr="00355D96">
              <w:t>190</w:t>
            </w:r>
          </w:p>
        </w:tc>
        <w:tc>
          <w:tcPr>
            <w:cnfStyle w:val="000001000000" w:firstRow="0" w:lastRow="0" w:firstColumn="0" w:lastColumn="0" w:oddVBand="0" w:evenVBand="1" w:oddHBand="0" w:evenHBand="0" w:firstRowFirstColumn="0" w:firstRowLastColumn="0" w:lastRowFirstColumn="0" w:lastRowLastColumn="0"/>
            <w:tcW w:w="738" w:type="dxa"/>
          </w:tcPr>
          <w:p w14:paraId="64EFF61C" w14:textId="77777777" w:rsidR="00127982" w:rsidRPr="00355D96" w:rsidRDefault="00127982" w:rsidP="00407B21">
            <w:pPr>
              <w:pStyle w:val="TabeladesnoUMAR"/>
            </w:pPr>
            <w:r w:rsidRPr="00355D96">
              <w:t>202</w:t>
            </w:r>
          </w:p>
        </w:tc>
        <w:tc>
          <w:tcPr>
            <w:cnfStyle w:val="000010000000" w:firstRow="0" w:lastRow="0" w:firstColumn="0" w:lastColumn="0" w:oddVBand="1" w:evenVBand="0" w:oddHBand="0" w:evenHBand="0" w:firstRowFirstColumn="0" w:firstRowLastColumn="0" w:lastRowFirstColumn="0" w:lastRowLastColumn="0"/>
            <w:tcW w:w="738" w:type="dxa"/>
          </w:tcPr>
          <w:p w14:paraId="64C17A45" w14:textId="77777777" w:rsidR="00127982" w:rsidRPr="00355D96" w:rsidRDefault="00127982" w:rsidP="00407B21">
            <w:pPr>
              <w:pStyle w:val="TabeladesnoUMAR"/>
            </w:pPr>
            <w:r w:rsidRPr="00355D96">
              <w:t>198</w:t>
            </w:r>
          </w:p>
        </w:tc>
        <w:tc>
          <w:tcPr>
            <w:cnfStyle w:val="000001000000" w:firstRow="0" w:lastRow="0" w:firstColumn="0" w:lastColumn="0" w:oddVBand="0" w:evenVBand="1" w:oddHBand="0" w:evenHBand="0" w:firstRowFirstColumn="0" w:firstRowLastColumn="0" w:lastRowFirstColumn="0" w:lastRowLastColumn="0"/>
            <w:tcW w:w="738" w:type="dxa"/>
          </w:tcPr>
          <w:p w14:paraId="6D7C8AB2" w14:textId="77777777" w:rsidR="00127982" w:rsidRPr="00355D96" w:rsidRDefault="00127982" w:rsidP="00407B21">
            <w:pPr>
              <w:pStyle w:val="TabeladesnoUMAR"/>
            </w:pPr>
            <w:r w:rsidRPr="00355D96">
              <w:t>208</w:t>
            </w:r>
          </w:p>
        </w:tc>
        <w:tc>
          <w:tcPr>
            <w:cnfStyle w:val="000010000000" w:firstRow="0" w:lastRow="0" w:firstColumn="0" w:lastColumn="0" w:oddVBand="1" w:evenVBand="0" w:oddHBand="0" w:evenHBand="0" w:firstRowFirstColumn="0" w:firstRowLastColumn="0" w:lastRowFirstColumn="0" w:lastRowLastColumn="0"/>
            <w:tcW w:w="738" w:type="dxa"/>
          </w:tcPr>
          <w:p w14:paraId="5DE1C280" w14:textId="77777777" w:rsidR="00127982" w:rsidRPr="00355D96" w:rsidRDefault="00127982" w:rsidP="00407B21">
            <w:pPr>
              <w:pStyle w:val="TabeladesnoUMAR"/>
            </w:pPr>
            <w:r w:rsidRPr="00355D96">
              <w:t>222</w:t>
            </w:r>
          </w:p>
        </w:tc>
        <w:tc>
          <w:tcPr>
            <w:cnfStyle w:val="000001000000" w:firstRow="0" w:lastRow="0" w:firstColumn="0" w:lastColumn="0" w:oddVBand="0" w:evenVBand="1" w:oddHBand="0" w:evenHBand="0" w:firstRowFirstColumn="0" w:firstRowLastColumn="0" w:lastRowFirstColumn="0" w:lastRowLastColumn="0"/>
            <w:tcW w:w="738" w:type="dxa"/>
          </w:tcPr>
          <w:p w14:paraId="38EFA1CF" w14:textId="77777777" w:rsidR="00127982" w:rsidRPr="00355D96" w:rsidRDefault="00127982" w:rsidP="00407B21">
            <w:pPr>
              <w:pStyle w:val="TabeladesnoUMAR"/>
            </w:pPr>
            <w:r>
              <w:t>229</w:t>
            </w:r>
          </w:p>
        </w:tc>
        <w:tc>
          <w:tcPr>
            <w:cnfStyle w:val="000010000000" w:firstRow="0" w:lastRow="0" w:firstColumn="0" w:lastColumn="0" w:oddVBand="1" w:evenVBand="0" w:oddHBand="0" w:evenHBand="0" w:firstRowFirstColumn="0" w:firstRowLastColumn="0" w:lastRowFirstColumn="0" w:lastRowLastColumn="0"/>
            <w:tcW w:w="738" w:type="dxa"/>
          </w:tcPr>
          <w:p w14:paraId="5C1F5EF6" w14:textId="77777777" w:rsidR="00127982" w:rsidRPr="00355D96" w:rsidRDefault="00127982" w:rsidP="00407B21">
            <w:pPr>
              <w:pStyle w:val="TabeladesnoUMAR"/>
            </w:pPr>
            <w:r>
              <w:t>244</w:t>
            </w:r>
          </w:p>
        </w:tc>
        <w:tc>
          <w:tcPr>
            <w:cnfStyle w:val="000100000000" w:firstRow="0" w:lastRow="0" w:firstColumn="0" w:lastColumn="1" w:oddVBand="0" w:evenVBand="0" w:oddHBand="0" w:evenHBand="0" w:firstRowFirstColumn="0" w:firstRowLastColumn="0" w:lastRowFirstColumn="0" w:lastRowLastColumn="0"/>
            <w:tcW w:w="738" w:type="dxa"/>
          </w:tcPr>
          <w:p w14:paraId="3A8AD843" w14:textId="77777777" w:rsidR="00127982" w:rsidRPr="00355D96" w:rsidRDefault="00127982" w:rsidP="00407B21">
            <w:pPr>
              <w:pStyle w:val="TabeladesnoUMAR"/>
            </w:pPr>
            <w:r>
              <w:t>252</w:t>
            </w:r>
          </w:p>
        </w:tc>
      </w:tr>
      <w:tr w:rsidR="00127982" w:rsidRPr="00355D96" w14:paraId="6CB74853"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9406" w:type="dxa"/>
            <w:gridSpan w:val="9"/>
          </w:tcPr>
          <w:p w14:paraId="77900FB3" w14:textId="77777777" w:rsidR="00127982" w:rsidRPr="00355D96" w:rsidRDefault="00127982" w:rsidP="00407B21">
            <w:pPr>
              <w:pStyle w:val="TabelalevoUMAR"/>
            </w:pPr>
            <w:r w:rsidRPr="00355D96">
              <w:t>GOSPODARNOST</w:t>
            </w:r>
          </w:p>
        </w:tc>
      </w:tr>
      <w:tr w:rsidR="00127982" w:rsidRPr="00355D96" w14:paraId="2DE45C6A"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4E5E938F" w14:textId="77777777" w:rsidR="00127982" w:rsidRPr="00355D96" w:rsidRDefault="00127982" w:rsidP="00407B21">
            <w:pPr>
              <w:pStyle w:val="TabelalevoUMAR"/>
            </w:pPr>
            <w:r w:rsidRPr="00355D96">
              <w:t>Gospodarnost poslovanja</w:t>
            </w:r>
          </w:p>
        </w:tc>
        <w:tc>
          <w:tcPr>
            <w:cnfStyle w:val="000010000000" w:firstRow="0" w:lastRow="0" w:firstColumn="0" w:lastColumn="0" w:oddVBand="1" w:evenVBand="0" w:oddHBand="0" w:evenHBand="0" w:firstRowFirstColumn="0" w:firstRowLastColumn="0" w:lastRowFirstColumn="0" w:lastRowLastColumn="0"/>
            <w:tcW w:w="737" w:type="dxa"/>
          </w:tcPr>
          <w:p w14:paraId="1D4FB516" w14:textId="77777777" w:rsidR="00127982" w:rsidRPr="00355D96" w:rsidRDefault="00127982" w:rsidP="00407B21">
            <w:pPr>
              <w:pStyle w:val="TabeladesnoUMAR"/>
            </w:pPr>
            <w:r w:rsidRPr="00355D96">
              <w:t>1,032</w:t>
            </w:r>
          </w:p>
        </w:tc>
        <w:tc>
          <w:tcPr>
            <w:cnfStyle w:val="000001000000" w:firstRow="0" w:lastRow="0" w:firstColumn="0" w:lastColumn="0" w:oddVBand="0" w:evenVBand="1" w:oddHBand="0" w:evenHBand="0" w:firstRowFirstColumn="0" w:firstRowLastColumn="0" w:lastRowFirstColumn="0" w:lastRowLastColumn="0"/>
            <w:tcW w:w="738" w:type="dxa"/>
          </w:tcPr>
          <w:p w14:paraId="15E2C232" w14:textId="77777777" w:rsidR="00127982" w:rsidRPr="00355D96" w:rsidRDefault="00127982" w:rsidP="00407B21">
            <w:pPr>
              <w:pStyle w:val="TabeladesnoUMAR"/>
            </w:pPr>
            <w:r w:rsidRPr="00355D96">
              <w:t>1,025</w:t>
            </w:r>
          </w:p>
        </w:tc>
        <w:tc>
          <w:tcPr>
            <w:cnfStyle w:val="000010000000" w:firstRow="0" w:lastRow="0" w:firstColumn="0" w:lastColumn="0" w:oddVBand="1" w:evenVBand="0" w:oddHBand="0" w:evenHBand="0" w:firstRowFirstColumn="0" w:firstRowLastColumn="0" w:lastRowFirstColumn="0" w:lastRowLastColumn="0"/>
            <w:tcW w:w="738" w:type="dxa"/>
          </w:tcPr>
          <w:p w14:paraId="3740AA4B" w14:textId="77777777" w:rsidR="00127982" w:rsidRPr="00355D96" w:rsidRDefault="00127982" w:rsidP="00407B21">
            <w:pPr>
              <w:pStyle w:val="TabeladesnoUMAR"/>
            </w:pPr>
            <w:r w:rsidRPr="00355D96">
              <w:t>1,026</w:t>
            </w:r>
          </w:p>
        </w:tc>
        <w:tc>
          <w:tcPr>
            <w:cnfStyle w:val="000001000000" w:firstRow="0" w:lastRow="0" w:firstColumn="0" w:lastColumn="0" w:oddVBand="0" w:evenVBand="1" w:oddHBand="0" w:evenHBand="0" w:firstRowFirstColumn="0" w:firstRowLastColumn="0" w:lastRowFirstColumn="0" w:lastRowLastColumn="0"/>
            <w:tcW w:w="738" w:type="dxa"/>
          </w:tcPr>
          <w:p w14:paraId="46D1C694" w14:textId="77777777" w:rsidR="00127982" w:rsidRPr="00355D96" w:rsidRDefault="00127982" w:rsidP="00407B21">
            <w:pPr>
              <w:pStyle w:val="TabeladesnoUMAR"/>
            </w:pPr>
            <w:r w:rsidRPr="00355D96">
              <w:t>1,032</w:t>
            </w:r>
          </w:p>
        </w:tc>
        <w:tc>
          <w:tcPr>
            <w:cnfStyle w:val="000010000000" w:firstRow="0" w:lastRow="0" w:firstColumn="0" w:lastColumn="0" w:oddVBand="1" w:evenVBand="0" w:oddHBand="0" w:evenHBand="0" w:firstRowFirstColumn="0" w:firstRowLastColumn="0" w:lastRowFirstColumn="0" w:lastRowLastColumn="0"/>
            <w:tcW w:w="738" w:type="dxa"/>
          </w:tcPr>
          <w:p w14:paraId="78BBF29B" w14:textId="77777777" w:rsidR="00127982" w:rsidRPr="00355D96" w:rsidRDefault="00127982" w:rsidP="00407B21">
            <w:pPr>
              <w:pStyle w:val="TabeladesnoUMAR"/>
            </w:pPr>
            <w:r w:rsidRPr="00355D96">
              <w:t>1,031</w:t>
            </w:r>
          </w:p>
        </w:tc>
        <w:tc>
          <w:tcPr>
            <w:cnfStyle w:val="000001000000" w:firstRow="0" w:lastRow="0" w:firstColumn="0" w:lastColumn="0" w:oddVBand="0" w:evenVBand="1" w:oddHBand="0" w:evenHBand="0" w:firstRowFirstColumn="0" w:firstRowLastColumn="0" w:lastRowFirstColumn="0" w:lastRowLastColumn="0"/>
            <w:tcW w:w="738" w:type="dxa"/>
          </w:tcPr>
          <w:p w14:paraId="5D571227" w14:textId="77777777" w:rsidR="00127982" w:rsidRPr="00355D96" w:rsidRDefault="00127982" w:rsidP="00407B21">
            <w:pPr>
              <w:pStyle w:val="TabeladesnoUMAR"/>
            </w:pPr>
            <w:r>
              <w:t>1,045</w:t>
            </w:r>
          </w:p>
        </w:tc>
        <w:tc>
          <w:tcPr>
            <w:cnfStyle w:val="000010000000" w:firstRow="0" w:lastRow="0" w:firstColumn="0" w:lastColumn="0" w:oddVBand="1" w:evenVBand="0" w:oddHBand="0" w:evenHBand="0" w:firstRowFirstColumn="0" w:firstRowLastColumn="0" w:lastRowFirstColumn="0" w:lastRowLastColumn="0"/>
            <w:tcW w:w="738" w:type="dxa"/>
          </w:tcPr>
          <w:p w14:paraId="70604718" w14:textId="77777777" w:rsidR="00127982" w:rsidRPr="00355D96" w:rsidRDefault="00127982" w:rsidP="00407B21">
            <w:pPr>
              <w:pStyle w:val="TabeladesnoUMAR"/>
            </w:pPr>
            <w:r>
              <w:t>1,033</w:t>
            </w:r>
          </w:p>
        </w:tc>
        <w:tc>
          <w:tcPr>
            <w:cnfStyle w:val="000100000000" w:firstRow="0" w:lastRow="0" w:firstColumn="0" w:lastColumn="1" w:oddVBand="0" w:evenVBand="0" w:oddHBand="0" w:evenHBand="0" w:firstRowFirstColumn="0" w:firstRowLastColumn="0" w:lastRowFirstColumn="0" w:lastRowLastColumn="0"/>
            <w:tcW w:w="738" w:type="dxa"/>
          </w:tcPr>
          <w:p w14:paraId="38945742" w14:textId="77777777" w:rsidR="00127982" w:rsidRPr="00355D96" w:rsidRDefault="00127982" w:rsidP="00407B21">
            <w:pPr>
              <w:pStyle w:val="TabeladesnoUMAR"/>
            </w:pPr>
            <w:r>
              <w:t>1,038</w:t>
            </w:r>
          </w:p>
        </w:tc>
      </w:tr>
      <w:tr w:rsidR="00127982" w:rsidRPr="00355D96" w14:paraId="79D370B8"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9406" w:type="dxa"/>
            <w:gridSpan w:val="9"/>
          </w:tcPr>
          <w:p w14:paraId="2CBA1564" w14:textId="77777777" w:rsidR="00127982" w:rsidRPr="00355D96" w:rsidRDefault="00127982" w:rsidP="00407B21">
            <w:pPr>
              <w:pStyle w:val="TabelalevoUMAR"/>
            </w:pPr>
            <w:r w:rsidRPr="00355D96">
              <w:t>DONOSNOST</w:t>
            </w:r>
          </w:p>
        </w:tc>
      </w:tr>
      <w:tr w:rsidR="00127982" w:rsidRPr="00355D96" w14:paraId="61C515F1"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3F98496A" w14:textId="77777777" w:rsidR="00127982" w:rsidRPr="00355D96" w:rsidRDefault="00127982" w:rsidP="00407B21">
            <w:pPr>
              <w:pStyle w:val="TabelalevoUMAR"/>
            </w:pPr>
            <w:r w:rsidRPr="00355D96">
              <w:t>Donosnost sredstev (v %)</w:t>
            </w:r>
          </w:p>
        </w:tc>
        <w:tc>
          <w:tcPr>
            <w:cnfStyle w:val="000010000000" w:firstRow="0" w:lastRow="0" w:firstColumn="0" w:lastColumn="0" w:oddVBand="1" w:evenVBand="0" w:oddHBand="0" w:evenHBand="0" w:firstRowFirstColumn="0" w:firstRowLastColumn="0" w:lastRowFirstColumn="0" w:lastRowLastColumn="0"/>
            <w:tcW w:w="737" w:type="dxa"/>
          </w:tcPr>
          <w:p w14:paraId="50454A0A" w14:textId="77777777" w:rsidR="00127982" w:rsidRPr="00355D96" w:rsidRDefault="00127982" w:rsidP="00407B21">
            <w:pPr>
              <w:pStyle w:val="TabeladesnoUMAR"/>
            </w:pPr>
            <w:r w:rsidRPr="00355D96">
              <w:t>2,6</w:t>
            </w:r>
          </w:p>
        </w:tc>
        <w:tc>
          <w:tcPr>
            <w:cnfStyle w:val="000001000000" w:firstRow="0" w:lastRow="0" w:firstColumn="0" w:lastColumn="0" w:oddVBand="0" w:evenVBand="1" w:oddHBand="0" w:evenHBand="0" w:firstRowFirstColumn="0" w:firstRowLastColumn="0" w:lastRowFirstColumn="0" w:lastRowLastColumn="0"/>
            <w:tcW w:w="738" w:type="dxa"/>
          </w:tcPr>
          <w:p w14:paraId="0D363601" w14:textId="77777777" w:rsidR="00127982" w:rsidRPr="00355D96" w:rsidRDefault="00127982" w:rsidP="00407B21">
            <w:pPr>
              <w:pStyle w:val="TabeladesnoUMAR"/>
            </w:pPr>
            <w:r w:rsidRPr="00355D96">
              <w:t>0,9</w:t>
            </w:r>
          </w:p>
        </w:tc>
        <w:tc>
          <w:tcPr>
            <w:cnfStyle w:val="000010000000" w:firstRow="0" w:lastRow="0" w:firstColumn="0" w:lastColumn="0" w:oddVBand="1" w:evenVBand="0" w:oddHBand="0" w:evenHBand="0" w:firstRowFirstColumn="0" w:firstRowLastColumn="0" w:lastRowFirstColumn="0" w:lastRowLastColumn="0"/>
            <w:tcW w:w="738" w:type="dxa"/>
          </w:tcPr>
          <w:p w14:paraId="73C28C11" w14:textId="77777777" w:rsidR="00127982" w:rsidRPr="00355D96" w:rsidRDefault="00127982" w:rsidP="00407B21">
            <w:pPr>
              <w:pStyle w:val="TabeladesnoUMAR"/>
            </w:pPr>
            <w:r w:rsidRPr="00355D96">
              <w:t>3,3</w:t>
            </w:r>
          </w:p>
        </w:tc>
        <w:tc>
          <w:tcPr>
            <w:cnfStyle w:val="000001000000" w:firstRow="0" w:lastRow="0" w:firstColumn="0" w:lastColumn="0" w:oddVBand="0" w:evenVBand="1" w:oddHBand="0" w:evenHBand="0" w:firstRowFirstColumn="0" w:firstRowLastColumn="0" w:lastRowFirstColumn="0" w:lastRowLastColumn="0"/>
            <w:tcW w:w="738" w:type="dxa"/>
          </w:tcPr>
          <w:p w14:paraId="098461DD" w14:textId="77777777" w:rsidR="00127982" w:rsidRPr="00355D96" w:rsidRDefault="00127982" w:rsidP="00407B21">
            <w:pPr>
              <w:pStyle w:val="TabeladesnoUMAR"/>
            </w:pPr>
            <w:r w:rsidRPr="00355D96">
              <w:t>4,3</w:t>
            </w:r>
          </w:p>
        </w:tc>
        <w:tc>
          <w:tcPr>
            <w:cnfStyle w:val="000010000000" w:firstRow="0" w:lastRow="0" w:firstColumn="0" w:lastColumn="0" w:oddVBand="1" w:evenVBand="0" w:oddHBand="0" w:evenHBand="0" w:firstRowFirstColumn="0" w:firstRowLastColumn="0" w:lastRowFirstColumn="0" w:lastRowLastColumn="0"/>
            <w:tcW w:w="738" w:type="dxa"/>
          </w:tcPr>
          <w:p w14:paraId="36AB0E2A" w14:textId="77777777" w:rsidR="00127982" w:rsidRPr="00355D96" w:rsidRDefault="00127982" w:rsidP="00407B21">
            <w:pPr>
              <w:pStyle w:val="TabeladesnoUMAR"/>
            </w:pPr>
            <w:r w:rsidRPr="00355D96">
              <w:t>3,3</w:t>
            </w:r>
          </w:p>
        </w:tc>
        <w:tc>
          <w:tcPr>
            <w:cnfStyle w:val="000001000000" w:firstRow="0" w:lastRow="0" w:firstColumn="0" w:lastColumn="0" w:oddVBand="0" w:evenVBand="1" w:oddHBand="0" w:evenHBand="0" w:firstRowFirstColumn="0" w:firstRowLastColumn="0" w:lastRowFirstColumn="0" w:lastRowLastColumn="0"/>
            <w:tcW w:w="738" w:type="dxa"/>
          </w:tcPr>
          <w:p w14:paraId="5B4B218C" w14:textId="77777777" w:rsidR="00127982" w:rsidRPr="00355D96" w:rsidRDefault="00127982" w:rsidP="00407B21">
            <w:pPr>
              <w:pStyle w:val="TabeladesnoUMAR"/>
            </w:pPr>
            <w:r w:rsidRPr="00355D96">
              <w:t>6,4</w:t>
            </w:r>
          </w:p>
        </w:tc>
        <w:tc>
          <w:tcPr>
            <w:cnfStyle w:val="000010000000" w:firstRow="0" w:lastRow="0" w:firstColumn="0" w:lastColumn="0" w:oddVBand="1" w:evenVBand="0" w:oddHBand="0" w:evenHBand="0" w:firstRowFirstColumn="0" w:firstRowLastColumn="0" w:lastRowFirstColumn="0" w:lastRowLastColumn="0"/>
            <w:tcW w:w="738" w:type="dxa"/>
          </w:tcPr>
          <w:p w14:paraId="6C52CBDA" w14:textId="77777777" w:rsidR="00127982" w:rsidRPr="00355D96" w:rsidRDefault="00127982" w:rsidP="00407B21">
            <w:pPr>
              <w:pStyle w:val="TabeladesnoUMAR"/>
            </w:pPr>
            <w:r>
              <w:t>5,5</w:t>
            </w:r>
          </w:p>
        </w:tc>
        <w:tc>
          <w:tcPr>
            <w:cnfStyle w:val="000100000000" w:firstRow="0" w:lastRow="0" w:firstColumn="0" w:lastColumn="1" w:oddVBand="0" w:evenVBand="0" w:oddHBand="0" w:evenHBand="0" w:firstRowFirstColumn="0" w:firstRowLastColumn="0" w:lastRowFirstColumn="0" w:lastRowLastColumn="0"/>
            <w:tcW w:w="738" w:type="dxa"/>
          </w:tcPr>
          <w:p w14:paraId="3F635BC9" w14:textId="77777777" w:rsidR="00127982" w:rsidRPr="00355D96" w:rsidRDefault="00127982" w:rsidP="00407B21">
            <w:pPr>
              <w:pStyle w:val="TabeladesnoUMAR"/>
            </w:pPr>
            <w:r>
              <w:t>5,4</w:t>
            </w:r>
          </w:p>
        </w:tc>
      </w:tr>
      <w:tr w:rsidR="00127982" w:rsidRPr="00355D96" w14:paraId="388B0581"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60E7BC47" w14:textId="77777777" w:rsidR="00127982" w:rsidRPr="00355D96" w:rsidRDefault="00127982" w:rsidP="00407B21">
            <w:pPr>
              <w:pStyle w:val="TabelalevoUMAR"/>
            </w:pPr>
            <w:r w:rsidRPr="00355D96">
              <w:t>Donosnost prihodkov (v %)</w:t>
            </w:r>
          </w:p>
        </w:tc>
        <w:tc>
          <w:tcPr>
            <w:cnfStyle w:val="000010000000" w:firstRow="0" w:lastRow="0" w:firstColumn="0" w:lastColumn="0" w:oddVBand="1" w:evenVBand="0" w:oddHBand="0" w:evenHBand="0" w:firstRowFirstColumn="0" w:firstRowLastColumn="0" w:lastRowFirstColumn="0" w:lastRowLastColumn="0"/>
            <w:tcW w:w="737" w:type="dxa"/>
          </w:tcPr>
          <w:p w14:paraId="352EE80E" w14:textId="77777777" w:rsidR="00127982" w:rsidRPr="00355D96" w:rsidRDefault="00127982" w:rsidP="00407B21">
            <w:pPr>
              <w:pStyle w:val="TabeladesnoUMAR"/>
            </w:pPr>
            <w:r w:rsidRPr="00355D96">
              <w:t>1,5</w:t>
            </w:r>
          </w:p>
        </w:tc>
        <w:tc>
          <w:tcPr>
            <w:cnfStyle w:val="000001000000" w:firstRow="0" w:lastRow="0" w:firstColumn="0" w:lastColumn="0" w:oddVBand="0" w:evenVBand="1" w:oddHBand="0" w:evenHBand="0" w:firstRowFirstColumn="0" w:firstRowLastColumn="0" w:lastRowFirstColumn="0" w:lastRowLastColumn="0"/>
            <w:tcW w:w="738" w:type="dxa"/>
          </w:tcPr>
          <w:p w14:paraId="63892904" w14:textId="77777777" w:rsidR="00127982" w:rsidRPr="00355D96" w:rsidRDefault="00127982" w:rsidP="00407B21">
            <w:pPr>
              <w:pStyle w:val="TabeladesnoUMAR"/>
            </w:pPr>
            <w:r w:rsidRPr="00355D96">
              <w:t>0,6</w:t>
            </w:r>
          </w:p>
        </w:tc>
        <w:tc>
          <w:tcPr>
            <w:cnfStyle w:val="000010000000" w:firstRow="0" w:lastRow="0" w:firstColumn="0" w:lastColumn="0" w:oddVBand="1" w:evenVBand="0" w:oddHBand="0" w:evenHBand="0" w:firstRowFirstColumn="0" w:firstRowLastColumn="0" w:lastRowFirstColumn="0" w:lastRowLastColumn="0"/>
            <w:tcW w:w="738" w:type="dxa"/>
          </w:tcPr>
          <w:p w14:paraId="1FF766AE" w14:textId="77777777" w:rsidR="00127982" w:rsidRPr="00355D96" w:rsidRDefault="00127982" w:rsidP="00407B21">
            <w:pPr>
              <w:pStyle w:val="TabeladesnoUMAR"/>
            </w:pPr>
            <w:r w:rsidRPr="00355D96">
              <w:t>1,9</w:t>
            </w:r>
          </w:p>
        </w:tc>
        <w:tc>
          <w:tcPr>
            <w:cnfStyle w:val="000001000000" w:firstRow="0" w:lastRow="0" w:firstColumn="0" w:lastColumn="0" w:oddVBand="0" w:evenVBand="1" w:oddHBand="0" w:evenHBand="0" w:firstRowFirstColumn="0" w:firstRowLastColumn="0" w:lastRowFirstColumn="0" w:lastRowLastColumn="0"/>
            <w:tcW w:w="738" w:type="dxa"/>
          </w:tcPr>
          <w:p w14:paraId="712AEE16" w14:textId="77777777" w:rsidR="00127982" w:rsidRPr="00355D96" w:rsidRDefault="00127982" w:rsidP="00407B21">
            <w:pPr>
              <w:pStyle w:val="TabeladesnoUMAR"/>
            </w:pPr>
            <w:r w:rsidRPr="00355D96">
              <w:t>2,3</w:t>
            </w:r>
          </w:p>
        </w:tc>
        <w:tc>
          <w:tcPr>
            <w:cnfStyle w:val="000010000000" w:firstRow="0" w:lastRow="0" w:firstColumn="0" w:lastColumn="0" w:oddVBand="1" w:evenVBand="0" w:oddHBand="0" w:evenHBand="0" w:firstRowFirstColumn="0" w:firstRowLastColumn="0" w:lastRowFirstColumn="0" w:lastRowLastColumn="0"/>
            <w:tcW w:w="738" w:type="dxa"/>
          </w:tcPr>
          <w:p w14:paraId="16FCA9C5" w14:textId="77777777" w:rsidR="00127982" w:rsidRPr="00355D96" w:rsidRDefault="00127982" w:rsidP="00407B21">
            <w:pPr>
              <w:pStyle w:val="TabeladesnoUMAR"/>
            </w:pPr>
            <w:r w:rsidRPr="00355D96">
              <w:t>2,0</w:t>
            </w:r>
          </w:p>
        </w:tc>
        <w:tc>
          <w:tcPr>
            <w:cnfStyle w:val="000001000000" w:firstRow="0" w:lastRow="0" w:firstColumn="0" w:lastColumn="0" w:oddVBand="0" w:evenVBand="1" w:oddHBand="0" w:evenHBand="0" w:firstRowFirstColumn="0" w:firstRowLastColumn="0" w:lastRowFirstColumn="0" w:lastRowLastColumn="0"/>
            <w:tcW w:w="738" w:type="dxa"/>
          </w:tcPr>
          <w:p w14:paraId="7609B411" w14:textId="77777777" w:rsidR="00127982" w:rsidRPr="00355D96" w:rsidRDefault="00127982" w:rsidP="00407B21">
            <w:pPr>
              <w:pStyle w:val="TabeladesnoUMAR"/>
            </w:pPr>
            <w:r w:rsidRPr="00355D96">
              <w:t>3,5</w:t>
            </w:r>
          </w:p>
        </w:tc>
        <w:tc>
          <w:tcPr>
            <w:cnfStyle w:val="000010000000" w:firstRow="0" w:lastRow="0" w:firstColumn="0" w:lastColumn="0" w:oddVBand="1" w:evenVBand="0" w:oddHBand="0" w:evenHBand="0" w:firstRowFirstColumn="0" w:firstRowLastColumn="0" w:lastRowFirstColumn="0" w:lastRowLastColumn="0"/>
            <w:tcW w:w="738" w:type="dxa"/>
          </w:tcPr>
          <w:p w14:paraId="6D4DF7A5" w14:textId="77777777" w:rsidR="00127982" w:rsidRPr="00355D96" w:rsidRDefault="00127982" w:rsidP="00407B21">
            <w:pPr>
              <w:pStyle w:val="TabeladesnoUMAR"/>
            </w:pPr>
            <w:r>
              <w:t>2,6</w:t>
            </w:r>
          </w:p>
        </w:tc>
        <w:tc>
          <w:tcPr>
            <w:cnfStyle w:val="000100000000" w:firstRow="0" w:lastRow="0" w:firstColumn="0" w:lastColumn="1" w:oddVBand="0" w:evenVBand="0" w:oddHBand="0" w:evenHBand="0" w:firstRowFirstColumn="0" w:firstRowLastColumn="0" w:lastRowFirstColumn="0" w:lastRowLastColumn="0"/>
            <w:tcW w:w="738" w:type="dxa"/>
          </w:tcPr>
          <w:p w14:paraId="63225E5D" w14:textId="77777777" w:rsidR="00127982" w:rsidRPr="00355D96" w:rsidRDefault="00127982" w:rsidP="00407B21">
            <w:pPr>
              <w:pStyle w:val="TabeladesnoUMAR"/>
            </w:pPr>
            <w:r>
              <w:t>2,7</w:t>
            </w:r>
          </w:p>
        </w:tc>
      </w:tr>
      <w:tr w:rsidR="00127982" w:rsidRPr="00355D96" w14:paraId="7E849992"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9406" w:type="dxa"/>
            <w:gridSpan w:val="9"/>
          </w:tcPr>
          <w:p w14:paraId="485EF909" w14:textId="77777777" w:rsidR="00127982" w:rsidRPr="00355D96" w:rsidRDefault="00127982" w:rsidP="00407B21">
            <w:pPr>
              <w:pStyle w:val="TabelalevoUMAR"/>
            </w:pPr>
            <w:r w:rsidRPr="00355D96">
              <w:t>PRODUKTIVNOST</w:t>
            </w:r>
          </w:p>
        </w:tc>
      </w:tr>
      <w:tr w:rsidR="00127982" w:rsidRPr="00355D96" w14:paraId="4FA1AF55"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400464EF" w14:textId="77777777" w:rsidR="00127982" w:rsidRPr="00355D96" w:rsidRDefault="00127982" w:rsidP="00407B21">
            <w:pPr>
              <w:pStyle w:val="TabelalevoUMAR"/>
            </w:pPr>
            <w:r w:rsidRPr="00355D96">
              <w:t>Dodana vrednost/zaposlenega (v EUR)</w:t>
            </w:r>
          </w:p>
        </w:tc>
        <w:tc>
          <w:tcPr>
            <w:cnfStyle w:val="000010000000" w:firstRow="0" w:lastRow="0" w:firstColumn="0" w:lastColumn="0" w:oddVBand="1" w:evenVBand="0" w:oddHBand="0" w:evenHBand="0" w:firstRowFirstColumn="0" w:firstRowLastColumn="0" w:lastRowFirstColumn="0" w:lastRowLastColumn="0"/>
            <w:tcW w:w="737" w:type="dxa"/>
          </w:tcPr>
          <w:p w14:paraId="03A0F813" w14:textId="77777777" w:rsidR="00127982" w:rsidRPr="00355D96" w:rsidRDefault="00127982" w:rsidP="00407B21">
            <w:pPr>
              <w:pStyle w:val="TabeladesnoUMAR"/>
            </w:pPr>
            <w:r w:rsidRPr="00355D96">
              <w:t>37.698</w:t>
            </w:r>
          </w:p>
        </w:tc>
        <w:tc>
          <w:tcPr>
            <w:cnfStyle w:val="000001000000" w:firstRow="0" w:lastRow="0" w:firstColumn="0" w:lastColumn="0" w:oddVBand="0" w:evenVBand="1" w:oddHBand="0" w:evenHBand="0" w:firstRowFirstColumn="0" w:firstRowLastColumn="0" w:lastRowFirstColumn="0" w:lastRowLastColumn="0"/>
            <w:tcW w:w="738" w:type="dxa"/>
          </w:tcPr>
          <w:p w14:paraId="51599CCF" w14:textId="77777777" w:rsidR="00127982" w:rsidRPr="00355D96" w:rsidRDefault="00127982" w:rsidP="00407B21">
            <w:pPr>
              <w:pStyle w:val="TabeladesnoUMAR"/>
            </w:pPr>
            <w:r w:rsidRPr="00355D96">
              <w:t>35.908</w:t>
            </w:r>
          </w:p>
        </w:tc>
        <w:tc>
          <w:tcPr>
            <w:cnfStyle w:val="000010000000" w:firstRow="0" w:lastRow="0" w:firstColumn="0" w:lastColumn="0" w:oddVBand="1" w:evenVBand="0" w:oddHBand="0" w:evenHBand="0" w:firstRowFirstColumn="0" w:firstRowLastColumn="0" w:lastRowFirstColumn="0" w:lastRowLastColumn="0"/>
            <w:tcW w:w="738" w:type="dxa"/>
          </w:tcPr>
          <w:p w14:paraId="75E19BF8" w14:textId="77777777" w:rsidR="00127982" w:rsidRPr="00355D96" w:rsidRDefault="00127982" w:rsidP="00407B21">
            <w:pPr>
              <w:pStyle w:val="TabeladesnoUMAR"/>
            </w:pPr>
            <w:r w:rsidRPr="00355D96">
              <w:t>39.126</w:t>
            </w:r>
          </w:p>
        </w:tc>
        <w:tc>
          <w:tcPr>
            <w:cnfStyle w:val="000001000000" w:firstRow="0" w:lastRow="0" w:firstColumn="0" w:lastColumn="0" w:oddVBand="0" w:evenVBand="1" w:oddHBand="0" w:evenHBand="0" w:firstRowFirstColumn="0" w:firstRowLastColumn="0" w:lastRowFirstColumn="0" w:lastRowLastColumn="0"/>
            <w:tcW w:w="738" w:type="dxa"/>
          </w:tcPr>
          <w:p w14:paraId="6B297313" w14:textId="77777777" w:rsidR="00127982" w:rsidRPr="00355D96" w:rsidRDefault="00127982" w:rsidP="00407B21">
            <w:pPr>
              <w:pStyle w:val="TabeladesnoUMAR"/>
            </w:pPr>
            <w:r w:rsidRPr="00355D96">
              <w:t>48.125</w:t>
            </w:r>
          </w:p>
        </w:tc>
        <w:tc>
          <w:tcPr>
            <w:cnfStyle w:val="000010000000" w:firstRow="0" w:lastRow="0" w:firstColumn="0" w:lastColumn="0" w:oddVBand="1" w:evenVBand="0" w:oddHBand="0" w:evenHBand="0" w:firstRowFirstColumn="0" w:firstRowLastColumn="0" w:lastRowFirstColumn="0" w:lastRowLastColumn="0"/>
            <w:tcW w:w="738" w:type="dxa"/>
          </w:tcPr>
          <w:p w14:paraId="30309504" w14:textId="77777777" w:rsidR="00127982" w:rsidRPr="00355D96" w:rsidRDefault="00127982" w:rsidP="00407B21">
            <w:pPr>
              <w:pStyle w:val="TabeladesnoUMAR"/>
            </w:pPr>
            <w:r w:rsidRPr="00355D96">
              <w:t>48.563</w:t>
            </w:r>
          </w:p>
        </w:tc>
        <w:tc>
          <w:tcPr>
            <w:cnfStyle w:val="000001000000" w:firstRow="0" w:lastRow="0" w:firstColumn="0" w:lastColumn="0" w:oddVBand="0" w:evenVBand="1" w:oddHBand="0" w:evenHBand="0" w:firstRowFirstColumn="0" w:firstRowLastColumn="0" w:lastRowFirstColumn="0" w:lastRowLastColumn="0"/>
            <w:tcW w:w="738" w:type="dxa"/>
          </w:tcPr>
          <w:p w14:paraId="52D190B2" w14:textId="77777777" w:rsidR="00127982" w:rsidRPr="00355D96" w:rsidRDefault="00127982" w:rsidP="00407B21">
            <w:pPr>
              <w:pStyle w:val="TabeladesnoUMAR"/>
            </w:pPr>
            <w:r w:rsidRPr="00355D96">
              <w:t>57.505</w:t>
            </w:r>
          </w:p>
        </w:tc>
        <w:tc>
          <w:tcPr>
            <w:cnfStyle w:val="000010000000" w:firstRow="0" w:lastRow="0" w:firstColumn="0" w:lastColumn="0" w:oddVBand="1" w:evenVBand="0" w:oddHBand="0" w:evenHBand="0" w:firstRowFirstColumn="0" w:firstRowLastColumn="0" w:lastRowFirstColumn="0" w:lastRowLastColumn="0"/>
            <w:tcW w:w="738" w:type="dxa"/>
          </w:tcPr>
          <w:p w14:paraId="4CA8D920" w14:textId="77777777" w:rsidR="00127982" w:rsidRPr="00355D96" w:rsidRDefault="00127982" w:rsidP="00407B21">
            <w:pPr>
              <w:pStyle w:val="TabeladesnoUMAR"/>
            </w:pPr>
            <w:r>
              <w:t>58.040</w:t>
            </w:r>
          </w:p>
        </w:tc>
        <w:tc>
          <w:tcPr>
            <w:cnfStyle w:val="000100000000" w:firstRow="0" w:lastRow="0" w:firstColumn="0" w:lastColumn="1" w:oddVBand="0" w:evenVBand="0" w:oddHBand="0" w:evenHBand="0" w:firstRowFirstColumn="0" w:firstRowLastColumn="0" w:lastRowFirstColumn="0" w:lastRowLastColumn="0"/>
            <w:tcW w:w="738" w:type="dxa"/>
          </w:tcPr>
          <w:p w14:paraId="049E8003" w14:textId="77777777" w:rsidR="00127982" w:rsidRPr="00355D96" w:rsidRDefault="00127982" w:rsidP="00407B21">
            <w:pPr>
              <w:pStyle w:val="TabeladesnoUMAR"/>
            </w:pPr>
            <w:r>
              <w:t>63.241</w:t>
            </w:r>
          </w:p>
        </w:tc>
      </w:tr>
      <w:tr w:rsidR="00127982" w:rsidRPr="00355D96" w14:paraId="3516C6EE"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9406" w:type="dxa"/>
            <w:gridSpan w:val="9"/>
          </w:tcPr>
          <w:p w14:paraId="08D02B38" w14:textId="77777777" w:rsidR="00127982" w:rsidRPr="00355D96" w:rsidRDefault="00127982" w:rsidP="00407B21">
            <w:pPr>
              <w:pStyle w:val="TabelalevoUMAR"/>
            </w:pPr>
            <w:r w:rsidRPr="00355D96">
              <w:t>STROŠKI DELA</w:t>
            </w:r>
          </w:p>
        </w:tc>
      </w:tr>
      <w:tr w:rsidR="00127982" w:rsidRPr="00355D96" w14:paraId="4B0529A7"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45DA6C28" w14:textId="77777777" w:rsidR="00127982" w:rsidRPr="00355D96" w:rsidRDefault="00127982" w:rsidP="00407B21">
            <w:pPr>
              <w:pStyle w:val="TabelalevoUMAR"/>
            </w:pPr>
            <w:r w:rsidRPr="00355D96">
              <w:t>Stroški dela/zaposlenega (v EUR)</w:t>
            </w:r>
          </w:p>
        </w:tc>
        <w:tc>
          <w:tcPr>
            <w:cnfStyle w:val="000010000000" w:firstRow="0" w:lastRow="0" w:firstColumn="0" w:lastColumn="0" w:oddVBand="1" w:evenVBand="0" w:oddHBand="0" w:evenHBand="0" w:firstRowFirstColumn="0" w:firstRowLastColumn="0" w:lastRowFirstColumn="0" w:lastRowLastColumn="0"/>
            <w:tcW w:w="737" w:type="dxa"/>
          </w:tcPr>
          <w:p w14:paraId="6774103F" w14:textId="77777777" w:rsidR="00127982" w:rsidRPr="00355D96" w:rsidRDefault="00127982" w:rsidP="00407B21">
            <w:pPr>
              <w:pStyle w:val="TabeladesnoUMAR"/>
            </w:pPr>
            <w:r w:rsidRPr="00355D96">
              <w:t>21.170</w:t>
            </w:r>
          </w:p>
        </w:tc>
        <w:tc>
          <w:tcPr>
            <w:cnfStyle w:val="000001000000" w:firstRow="0" w:lastRow="0" w:firstColumn="0" w:lastColumn="0" w:oddVBand="0" w:evenVBand="1" w:oddHBand="0" w:evenHBand="0" w:firstRowFirstColumn="0" w:firstRowLastColumn="0" w:lastRowFirstColumn="0" w:lastRowLastColumn="0"/>
            <w:tcW w:w="738" w:type="dxa"/>
          </w:tcPr>
          <w:p w14:paraId="6AA0394B" w14:textId="77777777" w:rsidR="00127982" w:rsidRPr="00355D96" w:rsidRDefault="00127982" w:rsidP="00407B21">
            <w:pPr>
              <w:pStyle w:val="TabeladesnoUMAR"/>
            </w:pPr>
            <w:r w:rsidRPr="00355D96">
              <w:t>22.142</w:t>
            </w:r>
          </w:p>
        </w:tc>
        <w:tc>
          <w:tcPr>
            <w:cnfStyle w:val="000010000000" w:firstRow="0" w:lastRow="0" w:firstColumn="0" w:lastColumn="0" w:oddVBand="1" w:evenVBand="0" w:oddHBand="0" w:evenHBand="0" w:firstRowFirstColumn="0" w:firstRowLastColumn="0" w:lastRowFirstColumn="0" w:lastRowLastColumn="0"/>
            <w:tcW w:w="738" w:type="dxa"/>
          </w:tcPr>
          <w:p w14:paraId="1FC2EE7B" w14:textId="77777777" w:rsidR="00127982" w:rsidRPr="00355D96" w:rsidRDefault="00127982" w:rsidP="00407B21">
            <w:pPr>
              <w:pStyle w:val="TabeladesnoUMAR"/>
            </w:pPr>
            <w:r w:rsidRPr="00355D96">
              <w:t>24.053</w:t>
            </w:r>
          </w:p>
        </w:tc>
        <w:tc>
          <w:tcPr>
            <w:cnfStyle w:val="000001000000" w:firstRow="0" w:lastRow="0" w:firstColumn="0" w:lastColumn="0" w:oddVBand="0" w:evenVBand="1" w:oddHBand="0" w:evenHBand="0" w:firstRowFirstColumn="0" w:firstRowLastColumn="0" w:lastRowFirstColumn="0" w:lastRowLastColumn="0"/>
            <w:tcW w:w="738" w:type="dxa"/>
          </w:tcPr>
          <w:p w14:paraId="14439E4E" w14:textId="77777777" w:rsidR="00127982" w:rsidRPr="00355D96" w:rsidRDefault="00127982" w:rsidP="00407B21">
            <w:pPr>
              <w:pStyle w:val="TabeladesnoUMAR"/>
            </w:pPr>
            <w:r w:rsidRPr="00355D96">
              <w:t>27.547</w:t>
            </w:r>
          </w:p>
        </w:tc>
        <w:tc>
          <w:tcPr>
            <w:cnfStyle w:val="000010000000" w:firstRow="0" w:lastRow="0" w:firstColumn="0" w:lastColumn="0" w:oddVBand="1" w:evenVBand="0" w:oddHBand="0" w:evenHBand="0" w:firstRowFirstColumn="0" w:firstRowLastColumn="0" w:lastRowFirstColumn="0" w:lastRowLastColumn="0"/>
            <w:tcW w:w="738" w:type="dxa"/>
          </w:tcPr>
          <w:p w14:paraId="011CE3F7" w14:textId="77777777" w:rsidR="00127982" w:rsidRPr="00355D96" w:rsidRDefault="00127982" w:rsidP="00407B21">
            <w:pPr>
              <w:pStyle w:val="TabeladesnoUMAR"/>
            </w:pPr>
            <w:r w:rsidRPr="00355D96">
              <w:t>28.431</w:t>
            </w:r>
          </w:p>
        </w:tc>
        <w:tc>
          <w:tcPr>
            <w:cnfStyle w:val="000001000000" w:firstRow="0" w:lastRow="0" w:firstColumn="0" w:lastColumn="0" w:oddVBand="0" w:evenVBand="1" w:oddHBand="0" w:evenHBand="0" w:firstRowFirstColumn="0" w:firstRowLastColumn="0" w:lastRowFirstColumn="0" w:lastRowLastColumn="0"/>
            <w:tcW w:w="738" w:type="dxa"/>
          </w:tcPr>
          <w:p w14:paraId="4C623519" w14:textId="77777777" w:rsidR="00127982" w:rsidRPr="00355D96" w:rsidRDefault="00127982" w:rsidP="00407B21">
            <w:pPr>
              <w:pStyle w:val="TabeladesnoUMAR"/>
            </w:pPr>
            <w:r w:rsidRPr="00355D96">
              <w:t>30.284</w:t>
            </w:r>
          </w:p>
        </w:tc>
        <w:tc>
          <w:tcPr>
            <w:cnfStyle w:val="000010000000" w:firstRow="0" w:lastRow="0" w:firstColumn="0" w:lastColumn="0" w:oddVBand="1" w:evenVBand="0" w:oddHBand="0" w:evenHBand="0" w:firstRowFirstColumn="0" w:firstRowLastColumn="0" w:lastRowFirstColumn="0" w:lastRowLastColumn="0"/>
            <w:tcW w:w="738" w:type="dxa"/>
          </w:tcPr>
          <w:p w14:paraId="6E9BED07" w14:textId="77777777" w:rsidR="00127982" w:rsidRPr="00355D96" w:rsidRDefault="00127982" w:rsidP="00407B21">
            <w:pPr>
              <w:pStyle w:val="TabeladesnoUMAR"/>
            </w:pPr>
            <w:r>
              <w:t>32.379</w:t>
            </w:r>
          </w:p>
        </w:tc>
        <w:tc>
          <w:tcPr>
            <w:cnfStyle w:val="000100000000" w:firstRow="0" w:lastRow="0" w:firstColumn="0" w:lastColumn="1" w:oddVBand="0" w:evenVBand="0" w:oddHBand="0" w:evenHBand="0" w:firstRowFirstColumn="0" w:firstRowLastColumn="0" w:lastRowFirstColumn="0" w:lastRowLastColumn="0"/>
            <w:tcW w:w="738" w:type="dxa"/>
          </w:tcPr>
          <w:p w14:paraId="6EE10EE4" w14:textId="77777777" w:rsidR="00127982" w:rsidRPr="00355D96" w:rsidRDefault="00127982" w:rsidP="00407B21">
            <w:pPr>
              <w:pStyle w:val="TabeladesnoUMAR"/>
            </w:pPr>
            <w:r>
              <w:t>35.565</w:t>
            </w:r>
          </w:p>
        </w:tc>
      </w:tr>
      <w:tr w:rsidR="00127982" w:rsidRPr="00355D96" w14:paraId="508CE1AD"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201BCA01" w14:textId="77777777" w:rsidR="00127982" w:rsidRPr="00355D96" w:rsidRDefault="00127982" w:rsidP="00407B21">
            <w:pPr>
              <w:pStyle w:val="TabelalevoUMAR"/>
            </w:pPr>
            <w:r w:rsidRPr="00355D96">
              <w:t>Delež stroškov dela v dodani vrednosti (v %)</w:t>
            </w:r>
          </w:p>
        </w:tc>
        <w:tc>
          <w:tcPr>
            <w:cnfStyle w:val="000010000000" w:firstRow="0" w:lastRow="0" w:firstColumn="0" w:lastColumn="0" w:oddVBand="1" w:evenVBand="0" w:oddHBand="0" w:evenHBand="0" w:firstRowFirstColumn="0" w:firstRowLastColumn="0" w:lastRowFirstColumn="0" w:lastRowLastColumn="0"/>
            <w:tcW w:w="737" w:type="dxa"/>
          </w:tcPr>
          <w:p w14:paraId="65215623" w14:textId="77777777" w:rsidR="00127982" w:rsidRPr="00355D96" w:rsidRDefault="00127982" w:rsidP="00407B21">
            <w:pPr>
              <w:pStyle w:val="TabeladesnoUMAR"/>
            </w:pPr>
            <w:r w:rsidRPr="00355D96">
              <w:t>56,2</w:t>
            </w:r>
          </w:p>
        </w:tc>
        <w:tc>
          <w:tcPr>
            <w:cnfStyle w:val="000001000000" w:firstRow="0" w:lastRow="0" w:firstColumn="0" w:lastColumn="0" w:oddVBand="0" w:evenVBand="1" w:oddHBand="0" w:evenHBand="0" w:firstRowFirstColumn="0" w:firstRowLastColumn="0" w:lastRowFirstColumn="0" w:lastRowLastColumn="0"/>
            <w:tcW w:w="738" w:type="dxa"/>
          </w:tcPr>
          <w:p w14:paraId="4AF26B62" w14:textId="77777777" w:rsidR="00127982" w:rsidRPr="00355D96" w:rsidRDefault="00127982" w:rsidP="00407B21">
            <w:pPr>
              <w:pStyle w:val="TabeladesnoUMAR"/>
            </w:pPr>
            <w:r w:rsidRPr="00355D96">
              <w:t>61,7</w:t>
            </w:r>
          </w:p>
        </w:tc>
        <w:tc>
          <w:tcPr>
            <w:cnfStyle w:val="000010000000" w:firstRow="0" w:lastRow="0" w:firstColumn="0" w:lastColumn="0" w:oddVBand="1" w:evenVBand="0" w:oddHBand="0" w:evenHBand="0" w:firstRowFirstColumn="0" w:firstRowLastColumn="0" w:lastRowFirstColumn="0" w:lastRowLastColumn="0"/>
            <w:tcW w:w="738" w:type="dxa"/>
          </w:tcPr>
          <w:p w14:paraId="510E734E" w14:textId="77777777" w:rsidR="00127982" w:rsidRPr="00355D96" w:rsidRDefault="00127982" w:rsidP="00407B21">
            <w:pPr>
              <w:pStyle w:val="TabeladesnoUMAR"/>
            </w:pPr>
            <w:r w:rsidRPr="00355D96">
              <w:t xml:space="preserve"> 61,5</w:t>
            </w:r>
          </w:p>
        </w:tc>
        <w:tc>
          <w:tcPr>
            <w:cnfStyle w:val="000001000000" w:firstRow="0" w:lastRow="0" w:firstColumn="0" w:lastColumn="0" w:oddVBand="0" w:evenVBand="1" w:oddHBand="0" w:evenHBand="0" w:firstRowFirstColumn="0" w:firstRowLastColumn="0" w:lastRowFirstColumn="0" w:lastRowLastColumn="0"/>
            <w:tcW w:w="738" w:type="dxa"/>
          </w:tcPr>
          <w:p w14:paraId="326A55F9" w14:textId="77777777" w:rsidR="00127982" w:rsidRPr="00355D96" w:rsidRDefault="00127982" w:rsidP="00407B21">
            <w:pPr>
              <w:pStyle w:val="TabeladesnoUMAR"/>
            </w:pPr>
            <w:r w:rsidRPr="00355D96">
              <w:t>57,2</w:t>
            </w:r>
          </w:p>
        </w:tc>
        <w:tc>
          <w:tcPr>
            <w:cnfStyle w:val="000010000000" w:firstRow="0" w:lastRow="0" w:firstColumn="0" w:lastColumn="0" w:oddVBand="1" w:evenVBand="0" w:oddHBand="0" w:evenHBand="0" w:firstRowFirstColumn="0" w:firstRowLastColumn="0" w:lastRowFirstColumn="0" w:lastRowLastColumn="0"/>
            <w:tcW w:w="738" w:type="dxa"/>
          </w:tcPr>
          <w:p w14:paraId="3470F4BE" w14:textId="77777777" w:rsidR="00127982" w:rsidRPr="00355D96" w:rsidRDefault="00127982" w:rsidP="00407B21">
            <w:pPr>
              <w:pStyle w:val="TabeladesnoUMAR"/>
            </w:pPr>
            <w:r w:rsidRPr="00355D96">
              <w:t>58,5</w:t>
            </w:r>
          </w:p>
        </w:tc>
        <w:tc>
          <w:tcPr>
            <w:cnfStyle w:val="000001000000" w:firstRow="0" w:lastRow="0" w:firstColumn="0" w:lastColumn="0" w:oddVBand="0" w:evenVBand="1" w:oddHBand="0" w:evenHBand="0" w:firstRowFirstColumn="0" w:firstRowLastColumn="0" w:lastRowFirstColumn="0" w:lastRowLastColumn="0"/>
            <w:tcW w:w="738" w:type="dxa"/>
          </w:tcPr>
          <w:p w14:paraId="6C69FB35" w14:textId="77777777" w:rsidR="00127982" w:rsidRPr="00355D96" w:rsidRDefault="00127982" w:rsidP="00407B21">
            <w:pPr>
              <w:pStyle w:val="TabeladesnoUMAR"/>
            </w:pPr>
            <w:r w:rsidRPr="00355D96">
              <w:t>52,7</w:t>
            </w:r>
          </w:p>
        </w:tc>
        <w:tc>
          <w:tcPr>
            <w:cnfStyle w:val="000010000000" w:firstRow="0" w:lastRow="0" w:firstColumn="0" w:lastColumn="0" w:oddVBand="1" w:evenVBand="0" w:oddHBand="0" w:evenHBand="0" w:firstRowFirstColumn="0" w:firstRowLastColumn="0" w:lastRowFirstColumn="0" w:lastRowLastColumn="0"/>
            <w:tcW w:w="738" w:type="dxa"/>
          </w:tcPr>
          <w:p w14:paraId="38D70675" w14:textId="77777777" w:rsidR="00127982" w:rsidRPr="00355D96" w:rsidRDefault="00127982" w:rsidP="00407B21">
            <w:pPr>
              <w:pStyle w:val="TabeladesnoUMAR"/>
            </w:pPr>
            <w:r>
              <w:t>55,8</w:t>
            </w:r>
          </w:p>
        </w:tc>
        <w:tc>
          <w:tcPr>
            <w:cnfStyle w:val="000100000000" w:firstRow="0" w:lastRow="0" w:firstColumn="0" w:lastColumn="1" w:oddVBand="0" w:evenVBand="0" w:oddHBand="0" w:evenHBand="0" w:firstRowFirstColumn="0" w:firstRowLastColumn="0" w:lastRowFirstColumn="0" w:lastRowLastColumn="0"/>
            <w:tcW w:w="738" w:type="dxa"/>
          </w:tcPr>
          <w:p w14:paraId="2C1F870E" w14:textId="77777777" w:rsidR="00127982" w:rsidRPr="00355D96" w:rsidRDefault="00127982" w:rsidP="00407B21">
            <w:pPr>
              <w:pStyle w:val="TabeladesnoUMAR"/>
            </w:pPr>
            <w:r>
              <w:t>56,2</w:t>
            </w:r>
          </w:p>
        </w:tc>
      </w:tr>
      <w:tr w:rsidR="00127982" w:rsidRPr="00355D96" w14:paraId="5B20F42D"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9406" w:type="dxa"/>
            <w:gridSpan w:val="9"/>
          </w:tcPr>
          <w:p w14:paraId="47BA8F86" w14:textId="77777777" w:rsidR="00127982" w:rsidRPr="00355D96" w:rsidRDefault="00127982" w:rsidP="00407B21">
            <w:pPr>
              <w:pStyle w:val="TabelalevoUMAR"/>
            </w:pPr>
            <w:r w:rsidRPr="00355D96">
              <w:t>FINANCIRANJE IN PLAČILNA SPOSOBNOST</w:t>
            </w:r>
          </w:p>
        </w:tc>
      </w:tr>
      <w:tr w:rsidR="00127982" w:rsidRPr="00355D96" w14:paraId="0E1A9BEC"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1A443CCA" w14:textId="77777777" w:rsidR="00127982" w:rsidRPr="00355D96" w:rsidRDefault="00127982" w:rsidP="00407B21">
            <w:pPr>
              <w:pStyle w:val="TabelalevoUMAR"/>
            </w:pPr>
            <w:r w:rsidRPr="00355D96">
              <w:t>Delež dolga v virih sredstev (v %)</w:t>
            </w:r>
          </w:p>
        </w:tc>
        <w:tc>
          <w:tcPr>
            <w:cnfStyle w:val="000010000000" w:firstRow="0" w:lastRow="0" w:firstColumn="0" w:lastColumn="0" w:oddVBand="1" w:evenVBand="0" w:oddHBand="0" w:evenHBand="0" w:firstRowFirstColumn="0" w:firstRowLastColumn="0" w:lastRowFirstColumn="0" w:lastRowLastColumn="0"/>
            <w:tcW w:w="737" w:type="dxa"/>
          </w:tcPr>
          <w:p w14:paraId="46DCCE13" w14:textId="77777777" w:rsidR="00127982" w:rsidRPr="00355D96" w:rsidRDefault="00127982" w:rsidP="00407B21">
            <w:pPr>
              <w:pStyle w:val="TabeladesnoUMAR"/>
            </w:pPr>
            <w:r w:rsidRPr="00355D96">
              <w:t>66,0</w:t>
            </w:r>
          </w:p>
        </w:tc>
        <w:tc>
          <w:tcPr>
            <w:cnfStyle w:val="000001000000" w:firstRow="0" w:lastRow="0" w:firstColumn="0" w:lastColumn="0" w:oddVBand="0" w:evenVBand="1" w:oddHBand="0" w:evenHBand="0" w:firstRowFirstColumn="0" w:firstRowLastColumn="0" w:lastRowFirstColumn="0" w:lastRowLastColumn="0"/>
            <w:tcW w:w="738" w:type="dxa"/>
          </w:tcPr>
          <w:p w14:paraId="1FDA8DB0" w14:textId="77777777" w:rsidR="00127982" w:rsidRPr="00355D96" w:rsidRDefault="00127982" w:rsidP="00407B21">
            <w:pPr>
              <w:pStyle w:val="TabeladesnoUMAR"/>
            </w:pPr>
            <w:r w:rsidRPr="00355D96">
              <w:t>65,7</w:t>
            </w:r>
          </w:p>
        </w:tc>
        <w:tc>
          <w:tcPr>
            <w:cnfStyle w:val="000010000000" w:firstRow="0" w:lastRow="0" w:firstColumn="0" w:lastColumn="0" w:oddVBand="1" w:evenVBand="0" w:oddHBand="0" w:evenHBand="0" w:firstRowFirstColumn="0" w:firstRowLastColumn="0" w:lastRowFirstColumn="0" w:lastRowLastColumn="0"/>
            <w:tcW w:w="738" w:type="dxa"/>
          </w:tcPr>
          <w:p w14:paraId="1E7A6A2A" w14:textId="77777777" w:rsidR="00127982" w:rsidRPr="00355D96" w:rsidRDefault="00127982" w:rsidP="00407B21">
            <w:pPr>
              <w:pStyle w:val="TabeladesnoUMAR"/>
            </w:pPr>
            <w:r w:rsidRPr="00355D96">
              <w:t>59,6</w:t>
            </w:r>
          </w:p>
        </w:tc>
        <w:tc>
          <w:tcPr>
            <w:cnfStyle w:val="000001000000" w:firstRow="0" w:lastRow="0" w:firstColumn="0" w:lastColumn="0" w:oddVBand="0" w:evenVBand="1" w:oddHBand="0" w:evenHBand="0" w:firstRowFirstColumn="0" w:firstRowLastColumn="0" w:lastRowFirstColumn="0" w:lastRowLastColumn="0"/>
            <w:tcW w:w="738" w:type="dxa"/>
          </w:tcPr>
          <w:p w14:paraId="59477CD6" w14:textId="77777777" w:rsidR="00127982" w:rsidRPr="00355D96" w:rsidRDefault="00127982" w:rsidP="00407B21">
            <w:pPr>
              <w:pStyle w:val="TabeladesnoUMAR"/>
            </w:pPr>
            <w:r w:rsidRPr="00355D96">
              <w:t>59,0</w:t>
            </w:r>
          </w:p>
        </w:tc>
        <w:tc>
          <w:tcPr>
            <w:cnfStyle w:val="000010000000" w:firstRow="0" w:lastRow="0" w:firstColumn="0" w:lastColumn="0" w:oddVBand="1" w:evenVBand="0" w:oddHBand="0" w:evenHBand="0" w:firstRowFirstColumn="0" w:firstRowLastColumn="0" w:lastRowFirstColumn="0" w:lastRowLastColumn="0"/>
            <w:tcW w:w="738" w:type="dxa"/>
          </w:tcPr>
          <w:p w14:paraId="268D04B2" w14:textId="77777777" w:rsidR="00127982" w:rsidRPr="00355D96" w:rsidRDefault="00127982" w:rsidP="00407B21">
            <w:pPr>
              <w:pStyle w:val="TabeladesnoUMAR"/>
            </w:pPr>
            <w:r w:rsidRPr="00355D96">
              <w:t>57,1</w:t>
            </w:r>
          </w:p>
        </w:tc>
        <w:tc>
          <w:tcPr>
            <w:cnfStyle w:val="000001000000" w:firstRow="0" w:lastRow="0" w:firstColumn="0" w:lastColumn="0" w:oddVBand="0" w:evenVBand="1" w:oddHBand="0" w:evenHBand="0" w:firstRowFirstColumn="0" w:firstRowLastColumn="0" w:lastRowFirstColumn="0" w:lastRowLastColumn="0"/>
            <w:tcW w:w="738" w:type="dxa"/>
          </w:tcPr>
          <w:p w14:paraId="0AF9EA2C" w14:textId="77777777" w:rsidR="00127982" w:rsidRPr="00355D96" w:rsidRDefault="00127982" w:rsidP="00407B21">
            <w:pPr>
              <w:pStyle w:val="TabeladesnoUMAR"/>
            </w:pPr>
            <w:r w:rsidRPr="00355D96">
              <w:t>57,1</w:t>
            </w:r>
          </w:p>
        </w:tc>
        <w:tc>
          <w:tcPr>
            <w:cnfStyle w:val="000010000000" w:firstRow="0" w:lastRow="0" w:firstColumn="0" w:lastColumn="0" w:oddVBand="1" w:evenVBand="0" w:oddHBand="0" w:evenHBand="0" w:firstRowFirstColumn="0" w:firstRowLastColumn="0" w:lastRowFirstColumn="0" w:lastRowLastColumn="0"/>
            <w:tcW w:w="738" w:type="dxa"/>
          </w:tcPr>
          <w:p w14:paraId="309954BB" w14:textId="77777777" w:rsidR="00127982" w:rsidRPr="00355D96" w:rsidRDefault="00127982" w:rsidP="00407B21">
            <w:pPr>
              <w:pStyle w:val="TabeladesnoUMAR"/>
            </w:pPr>
            <w:r>
              <w:t>58,5</w:t>
            </w:r>
          </w:p>
        </w:tc>
        <w:tc>
          <w:tcPr>
            <w:cnfStyle w:val="000100000000" w:firstRow="0" w:lastRow="0" w:firstColumn="0" w:lastColumn="1" w:oddVBand="0" w:evenVBand="0" w:oddHBand="0" w:evenHBand="0" w:firstRowFirstColumn="0" w:firstRowLastColumn="0" w:lastRowFirstColumn="0" w:lastRowLastColumn="0"/>
            <w:tcW w:w="738" w:type="dxa"/>
          </w:tcPr>
          <w:p w14:paraId="05544D00" w14:textId="77777777" w:rsidR="00127982" w:rsidRPr="00355D96" w:rsidRDefault="00127982" w:rsidP="00407B21">
            <w:pPr>
              <w:pStyle w:val="TabeladesnoUMAR"/>
            </w:pPr>
            <w:r>
              <w:t>57,0</w:t>
            </w:r>
          </w:p>
        </w:tc>
      </w:tr>
      <w:tr w:rsidR="00127982" w:rsidRPr="00355D96" w14:paraId="01E30395"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2DDC5293" w14:textId="77777777" w:rsidR="00127982" w:rsidRPr="00355D96" w:rsidRDefault="00127982" w:rsidP="00407B21">
            <w:pPr>
              <w:pStyle w:val="TabelalevoUMAR"/>
            </w:pPr>
            <w:r w:rsidRPr="00355D96">
              <w:t>Delež kratk. obveznosti v virih sredstev (v %)</w:t>
            </w:r>
          </w:p>
        </w:tc>
        <w:tc>
          <w:tcPr>
            <w:cnfStyle w:val="000010000000" w:firstRow="0" w:lastRow="0" w:firstColumn="0" w:lastColumn="0" w:oddVBand="1" w:evenVBand="0" w:oddHBand="0" w:evenHBand="0" w:firstRowFirstColumn="0" w:firstRowLastColumn="0" w:lastRowFirstColumn="0" w:lastRowLastColumn="0"/>
            <w:tcW w:w="737" w:type="dxa"/>
          </w:tcPr>
          <w:p w14:paraId="7858A0D3" w14:textId="77777777" w:rsidR="00127982" w:rsidRPr="00355D96" w:rsidRDefault="00127982" w:rsidP="00407B21">
            <w:pPr>
              <w:pStyle w:val="TabeladesnoUMAR"/>
            </w:pPr>
            <w:r w:rsidRPr="00355D96">
              <w:t>48,7</w:t>
            </w:r>
          </w:p>
        </w:tc>
        <w:tc>
          <w:tcPr>
            <w:cnfStyle w:val="000001000000" w:firstRow="0" w:lastRow="0" w:firstColumn="0" w:lastColumn="0" w:oddVBand="0" w:evenVBand="1" w:oddHBand="0" w:evenHBand="0" w:firstRowFirstColumn="0" w:firstRowLastColumn="0" w:lastRowFirstColumn="0" w:lastRowLastColumn="0"/>
            <w:tcW w:w="738" w:type="dxa"/>
          </w:tcPr>
          <w:p w14:paraId="7B1EAD2B" w14:textId="77777777" w:rsidR="00127982" w:rsidRPr="00355D96" w:rsidRDefault="00127982" w:rsidP="00407B21">
            <w:pPr>
              <w:pStyle w:val="TabeladesnoUMAR"/>
            </w:pPr>
            <w:r w:rsidRPr="00355D96">
              <w:t>47,1</w:t>
            </w:r>
          </w:p>
        </w:tc>
        <w:tc>
          <w:tcPr>
            <w:cnfStyle w:val="000010000000" w:firstRow="0" w:lastRow="0" w:firstColumn="0" w:lastColumn="0" w:oddVBand="1" w:evenVBand="0" w:oddHBand="0" w:evenHBand="0" w:firstRowFirstColumn="0" w:firstRowLastColumn="0" w:lastRowFirstColumn="0" w:lastRowLastColumn="0"/>
            <w:tcW w:w="738" w:type="dxa"/>
          </w:tcPr>
          <w:p w14:paraId="62E647D3" w14:textId="77777777" w:rsidR="00127982" w:rsidRPr="00355D96" w:rsidRDefault="00127982" w:rsidP="00407B21">
            <w:pPr>
              <w:pStyle w:val="TabeladesnoUMAR"/>
            </w:pPr>
            <w:r w:rsidRPr="00355D96">
              <w:t>41,3</w:t>
            </w:r>
          </w:p>
        </w:tc>
        <w:tc>
          <w:tcPr>
            <w:cnfStyle w:val="000001000000" w:firstRow="0" w:lastRow="0" w:firstColumn="0" w:lastColumn="0" w:oddVBand="0" w:evenVBand="1" w:oddHBand="0" w:evenHBand="0" w:firstRowFirstColumn="0" w:firstRowLastColumn="0" w:lastRowFirstColumn="0" w:lastRowLastColumn="0"/>
            <w:tcW w:w="738" w:type="dxa"/>
          </w:tcPr>
          <w:p w14:paraId="375E5793" w14:textId="77777777" w:rsidR="00127982" w:rsidRPr="00355D96" w:rsidRDefault="00127982" w:rsidP="00407B21">
            <w:pPr>
              <w:pStyle w:val="TabeladesnoUMAR"/>
            </w:pPr>
            <w:r w:rsidRPr="00355D96">
              <w:t>39,3</w:t>
            </w:r>
          </w:p>
        </w:tc>
        <w:tc>
          <w:tcPr>
            <w:cnfStyle w:val="000010000000" w:firstRow="0" w:lastRow="0" w:firstColumn="0" w:lastColumn="0" w:oddVBand="1" w:evenVBand="0" w:oddHBand="0" w:evenHBand="0" w:firstRowFirstColumn="0" w:firstRowLastColumn="0" w:lastRowFirstColumn="0" w:lastRowLastColumn="0"/>
            <w:tcW w:w="738" w:type="dxa"/>
          </w:tcPr>
          <w:p w14:paraId="395267C9" w14:textId="77777777" w:rsidR="00127982" w:rsidRPr="00355D96" w:rsidRDefault="00127982" w:rsidP="00407B21">
            <w:pPr>
              <w:pStyle w:val="TabeladesnoUMAR"/>
            </w:pPr>
            <w:r w:rsidRPr="00355D96">
              <w:t>38,2</w:t>
            </w:r>
          </w:p>
        </w:tc>
        <w:tc>
          <w:tcPr>
            <w:cnfStyle w:val="000001000000" w:firstRow="0" w:lastRow="0" w:firstColumn="0" w:lastColumn="0" w:oddVBand="0" w:evenVBand="1" w:oddHBand="0" w:evenHBand="0" w:firstRowFirstColumn="0" w:firstRowLastColumn="0" w:lastRowFirstColumn="0" w:lastRowLastColumn="0"/>
            <w:tcW w:w="738" w:type="dxa"/>
          </w:tcPr>
          <w:p w14:paraId="29646B81" w14:textId="77777777" w:rsidR="00127982" w:rsidRPr="00355D96" w:rsidRDefault="00127982" w:rsidP="00407B21">
            <w:pPr>
              <w:pStyle w:val="TabeladesnoUMAR"/>
            </w:pPr>
            <w:r w:rsidRPr="00355D96">
              <w:t>37,7</w:t>
            </w:r>
          </w:p>
        </w:tc>
        <w:tc>
          <w:tcPr>
            <w:cnfStyle w:val="000010000000" w:firstRow="0" w:lastRow="0" w:firstColumn="0" w:lastColumn="0" w:oddVBand="1" w:evenVBand="0" w:oddHBand="0" w:evenHBand="0" w:firstRowFirstColumn="0" w:firstRowLastColumn="0" w:lastRowFirstColumn="0" w:lastRowLastColumn="0"/>
            <w:tcW w:w="738" w:type="dxa"/>
          </w:tcPr>
          <w:p w14:paraId="0C7CF368" w14:textId="77777777" w:rsidR="00127982" w:rsidRPr="00355D96" w:rsidRDefault="00127982" w:rsidP="00407B21">
            <w:pPr>
              <w:pStyle w:val="TabeladesnoUMAR"/>
            </w:pPr>
            <w:r>
              <w:t>40,7</w:t>
            </w:r>
          </w:p>
        </w:tc>
        <w:tc>
          <w:tcPr>
            <w:cnfStyle w:val="000100000000" w:firstRow="0" w:lastRow="0" w:firstColumn="0" w:lastColumn="1" w:oddVBand="0" w:evenVBand="0" w:oddHBand="0" w:evenHBand="0" w:firstRowFirstColumn="0" w:firstRowLastColumn="0" w:lastRowFirstColumn="0" w:lastRowLastColumn="0"/>
            <w:tcW w:w="738" w:type="dxa"/>
          </w:tcPr>
          <w:p w14:paraId="30929175" w14:textId="77777777" w:rsidR="00127982" w:rsidRPr="00355D96" w:rsidRDefault="00127982" w:rsidP="00407B21">
            <w:pPr>
              <w:pStyle w:val="TabeladesnoUMAR"/>
            </w:pPr>
            <w:r>
              <w:t>39,9</w:t>
            </w:r>
          </w:p>
        </w:tc>
      </w:tr>
      <w:tr w:rsidR="00127982" w:rsidRPr="00355D96" w14:paraId="60EA9AB7"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7D0D28F1" w14:textId="77777777" w:rsidR="00127982" w:rsidRPr="00355D96" w:rsidRDefault="00127982" w:rsidP="00407B21">
            <w:pPr>
              <w:pStyle w:val="TabelalevoUMAR"/>
            </w:pPr>
            <w:r w:rsidRPr="00355D96">
              <w:t>Kapitalska pokritost dolg. sredstev (v %)</w:t>
            </w:r>
          </w:p>
        </w:tc>
        <w:tc>
          <w:tcPr>
            <w:cnfStyle w:val="000010000000" w:firstRow="0" w:lastRow="0" w:firstColumn="0" w:lastColumn="0" w:oddVBand="1" w:evenVBand="0" w:oddHBand="0" w:evenHBand="0" w:firstRowFirstColumn="0" w:firstRowLastColumn="0" w:lastRowFirstColumn="0" w:lastRowLastColumn="0"/>
            <w:tcW w:w="737" w:type="dxa"/>
          </w:tcPr>
          <w:p w14:paraId="7CE8A022" w14:textId="77777777" w:rsidR="00127982" w:rsidRPr="00355D96" w:rsidRDefault="00127982" w:rsidP="00407B21">
            <w:pPr>
              <w:pStyle w:val="TabeladesnoUMAR"/>
            </w:pPr>
            <w:r w:rsidRPr="00355D96">
              <w:t>73,1</w:t>
            </w:r>
          </w:p>
        </w:tc>
        <w:tc>
          <w:tcPr>
            <w:cnfStyle w:val="000001000000" w:firstRow="0" w:lastRow="0" w:firstColumn="0" w:lastColumn="0" w:oddVBand="0" w:evenVBand="1" w:oddHBand="0" w:evenHBand="0" w:firstRowFirstColumn="0" w:firstRowLastColumn="0" w:lastRowFirstColumn="0" w:lastRowLastColumn="0"/>
            <w:tcW w:w="738" w:type="dxa"/>
          </w:tcPr>
          <w:p w14:paraId="03542F91" w14:textId="77777777" w:rsidR="00127982" w:rsidRPr="00355D96" w:rsidRDefault="00127982" w:rsidP="00407B21">
            <w:pPr>
              <w:pStyle w:val="TabeladesnoUMAR"/>
            </w:pPr>
            <w:r w:rsidRPr="00355D96">
              <w:t>68,0</w:t>
            </w:r>
          </w:p>
        </w:tc>
        <w:tc>
          <w:tcPr>
            <w:cnfStyle w:val="000010000000" w:firstRow="0" w:lastRow="0" w:firstColumn="0" w:lastColumn="0" w:oddVBand="1" w:evenVBand="0" w:oddHBand="0" w:evenHBand="0" w:firstRowFirstColumn="0" w:firstRowLastColumn="0" w:lastRowFirstColumn="0" w:lastRowLastColumn="0"/>
            <w:tcW w:w="738" w:type="dxa"/>
          </w:tcPr>
          <w:p w14:paraId="4FB180DA" w14:textId="77777777" w:rsidR="00127982" w:rsidRPr="00355D96" w:rsidRDefault="00127982" w:rsidP="00407B21">
            <w:pPr>
              <w:pStyle w:val="TabeladesnoUMAR"/>
            </w:pPr>
            <w:r w:rsidRPr="00355D96">
              <w:t>92,2</w:t>
            </w:r>
          </w:p>
        </w:tc>
        <w:tc>
          <w:tcPr>
            <w:cnfStyle w:val="000001000000" w:firstRow="0" w:lastRow="0" w:firstColumn="0" w:lastColumn="0" w:oddVBand="0" w:evenVBand="1" w:oddHBand="0" w:evenHBand="0" w:firstRowFirstColumn="0" w:firstRowLastColumn="0" w:lastRowFirstColumn="0" w:lastRowLastColumn="0"/>
            <w:tcW w:w="738" w:type="dxa"/>
          </w:tcPr>
          <w:p w14:paraId="67A9075B" w14:textId="77777777" w:rsidR="00127982" w:rsidRPr="00355D96" w:rsidRDefault="00127982" w:rsidP="00407B21">
            <w:pPr>
              <w:pStyle w:val="TabeladesnoUMAR"/>
            </w:pPr>
            <w:r w:rsidRPr="00355D96">
              <w:t>90,5</w:t>
            </w:r>
          </w:p>
        </w:tc>
        <w:tc>
          <w:tcPr>
            <w:cnfStyle w:val="000010000000" w:firstRow="0" w:lastRow="0" w:firstColumn="0" w:lastColumn="0" w:oddVBand="1" w:evenVBand="0" w:oddHBand="0" w:evenHBand="0" w:firstRowFirstColumn="0" w:firstRowLastColumn="0" w:lastRowFirstColumn="0" w:lastRowLastColumn="0"/>
            <w:tcW w:w="738" w:type="dxa"/>
          </w:tcPr>
          <w:p w14:paraId="5A8C2EEF" w14:textId="77777777" w:rsidR="00127982" w:rsidRPr="00355D96" w:rsidRDefault="00127982" w:rsidP="00407B21">
            <w:pPr>
              <w:pStyle w:val="TabeladesnoUMAR"/>
            </w:pPr>
            <w:r w:rsidRPr="00355D96">
              <w:t>95,2</w:t>
            </w:r>
          </w:p>
        </w:tc>
        <w:tc>
          <w:tcPr>
            <w:cnfStyle w:val="000001000000" w:firstRow="0" w:lastRow="0" w:firstColumn="0" w:lastColumn="0" w:oddVBand="0" w:evenVBand="1" w:oddHBand="0" w:evenHBand="0" w:firstRowFirstColumn="0" w:firstRowLastColumn="0" w:lastRowFirstColumn="0" w:lastRowLastColumn="0"/>
            <w:tcW w:w="738" w:type="dxa"/>
          </w:tcPr>
          <w:p w14:paraId="4EF170D9" w14:textId="77777777" w:rsidR="00127982" w:rsidRPr="00355D96" w:rsidRDefault="00127982" w:rsidP="00407B21">
            <w:pPr>
              <w:pStyle w:val="TabeladesnoUMAR"/>
            </w:pPr>
            <w:r w:rsidRPr="00355D96">
              <w:t>98,4</w:t>
            </w:r>
          </w:p>
        </w:tc>
        <w:tc>
          <w:tcPr>
            <w:cnfStyle w:val="000010000000" w:firstRow="0" w:lastRow="0" w:firstColumn="0" w:lastColumn="0" w:oddVBand="1" w:evenVBand="0" w:oddHBand="0" w:evenHBand="0" w:firstRowFirstColumn="0" w:firstRowLastColumn="0" w:lastRowFirstColumn="0" w:lastRowLastColumn="0"/>
            <w:tcW w:w="738" w:type="dxa"/>
          </w:tcPr>
          <w:p w14:paraId="1F830F7F" w14:textId="77777777" w:rsidR="00127982" w:rsidRPr="00355D96" w:rsidRDefault="00127982" w:rsidP="00407B21">
            <w:pPr>
              <w:pStyle w:val="TabeladesnoUMAR"/>
            </w:pPr>
            <w:r>
              <w:t>101,7</w:t>
            </w:r>
          </w:p>
        </w:tc>
        <w:tc>
          <w:tcPr>
            <w:cnfStyle w:val="000100000000" w:firstRow="0" w:lastRow="0" w:firstColumn="0" w:lastColumn="1" w:oddVBand="0" w:evenVBand="0" w:oddHBand="0" w:evenHBand="0" w:firstRowFirstColumn="0" w:firstRowLastColumn="0" w:lastRowFirstColumn="0" w:lastRowLastColumn="0"/>
            <w:tcW w:w="738" w:type="dxa"/>
          </w:tcPr>
          <w:p w14:paraId="01F64CBD" w14:textId="77777777" w:rsidR="00127982" w:rsidRPr="00355D96" w:rsidRDefault="00127982" w:rsidP="00407B21">
            <w:pPr>
              <w:pStyle w:val="TabeladesnoUMAR"/>
            </w:pPr>
            <w:r>
              <w:t>108,1</w:t>
            </w:r>
          </w:p>
        </w:tc>
      </w:tr>
      <w:tr w:rsidR="00127982" w:rsidRPr="00355D96" w14:paraId="3DA92B76"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233E5732" w14:textId="77777777" w:rsidR="00127982" w:rsidRPr="00355D96" w:rsidRDefault="00127982" w:rsidP="00407B21">
            <w:pPr>
              <w:pStyle w:val="TabelalevoUMAR"/>
            </w:pPr>
            <w:r w:rsidRPr="00355D96">
              <w:t>Dolg. pokritost dolg. sredstev in zalog (v %)</w:t>
            </w:r>
          </w:p>
        </w:tc>
        <w:tc>
          <w:tcPr>
            <w:cnfStyle w:val="000010000000" w:firstRow="0" w:lastRow="0" w:firstColumn="0" w:lastColumn="0" w:oddVBand="1" w:evenVBand="0" w:oddHBand="0" w:evenHBand="0" w:firstRowFirstColumn="0" w:firstRowLastColumn="0" w:lastRowFirstColumn="0" w:lastRowLastColumn="0"/>
            <w:tcW w:w="737" w:type="dxa"/>
          </w:tcPr>
          <w:p w14:paraId="29A3D52F" w14:textId="77777777" w:rsidR="00127982" w:rsidRPr="00355D96" w:rsidRDefault="00127982" w:rsidP="00407B21">
            <w:pPr>
              <w:pStyle w:val="TabeladesnoUMAR"/>
            </w:pPr>
            <w:r w:rsidRPr="00355D96">
              <w:t>79,4</w:t>
            </w:r>
          </w:p>
        </w:tc>
        <w:tc>
          <w:tcPr>
            <w:cnfStyle w:val="000001000000" w:firstRow="0" w:lastRow="0" w:firstColumn="0" w:lastColumn="0" w:oddVBand="0" w:evenVBand="1" w:oddHBand="0" w:evenHBand="0" w:firstRowFirstColumn="0" w:firstRowLastColumn="0" w:lastRowFirstColumn="0" w:lastRowLastColumn="0"/>
            <w:tcW w:w="738" w:type="dxa"/>
          </w:tcPr>
          <w:p w14:paraId="0D363283" w14:textId="77777777" w:rsidR="00127982" w:rsidRPr="00355D96" w:rsidRDefault="00127982" w:rsidP="00407B21">
            <w:pPr>
              <w:pStyle w:val="TabeladesnoUMAR"/>
            </w:pPr>
            <w:r w:rsidRPr="00355D96">
              <w:t>80,3</w:t>
            </w:r>
          </w:p>
        </w:tc>
        <w:tc>
          <w:tcPr>
            <w:cnfStyle w:val="000010000000" w:firstRow="0" w:lastRow="0" w:firstColumn="0" w:lastColumn="0" w:oddVBand="1" w:evenVBand="0" w:oddHBand="0" w:evenHBand="0" w:firstRowFirstColumn="0" w:firstRowLastColumn="0" w:lastRowFirstColumn="0" w:lastRowLastColumn="0"/>
            <w:tcW w:w="738" w:type="dxa"/>
          </w:tcPr>
          <w:p w14:paraId="733C752C" w14:textId="77777777" w:rsidR="00127982" w:rsidRPr="00355D96" w:rsidRDefault="00127982" w:rsidP="00407B21">
            <w:pPr>
              <w:pStyle w:val="TabeladesnoUMAR"/>
            </w:pPr>
            <w:r w:rsidRPr="00355D96">
              <w:t>96,2</w:t>
            </w:r>
          </w:p>
        </w:tc>
        <w:tc>
          <w:tcPr>
            <w:cnfStyle w:val="000001000000" w:firstRow="0" w:lastRow="0" w:firstColumn="0" w:lastColumn="0" w:oddVBand="0" w:evenVBand="1" w:oddHBand="0" w:evenHBand="0" w:firstRowFirstColumn="0" w:firstRowLastColumn="0" w:lastRowFirstColumn="0" w:lastRowLastColumn="0"/>
            <w:tcW w:w="738" w:type="dxa"/>
          </w:tcPr>
          <w:p w14:paraId="716811EA" w14:textId="77777777" w:rsidR="00127982" w:rsidRPr="00355D96" w:rsidRDefault="00127982" w:rsidP="00407B21">
            <w:pPr>
              <w:pStyle w:val="TabeladesnoUMAR"/>
            </w:pPr>
            <w:r w:rsidRPr="00355D96">
              <w:t>94,6</w:t>
            </w:r>
          </w:p>
        </w:tc>
        <w:tc>
          <w:tcPr>
            <w:cnfStyle w:val="000010000000" w:firstRow="0" w:lastRow="0" w:firstColumn="0" w:lastColumn="0" w:oddVBand="1" w:evenVBand="0" w:oddHBand="0" w:evenHBand="0" w:firstRowFirstColumn="0" w:firstRowLastColumn="0" w:lastRowFirstColumn="0" w:lastRowLastColumn="0"/>
            <w:tcW w:w="738" w:type="dxa"/>
          </w:tcPr>
          <w:p w14:paraId="408444CE" w14:textId="77777777" w:rsidR="00127982" w:rsidRPr="00355D96" w:rsidRDefault="00127982" w:rsidP="00407B21">
            <w:pPr>
              <w:pStyle w:val="TabeladesnoUMAR"/>
            </w:pPr>
            <w:r w:rsidRPr="00355D96">
              <w:t>97,0</w:t>
            </w:r>
          </w:p>
        </w:tc>
        <w:tc>
          <w:tcPr>
            <w:cnfStyle w:val="000001000000" w:firstRow="0" w:lastRow="0" w:firstColumn="0" w:lastColumn="0" w:oddVBand="0" w:evenVBand="1" w:oddHBand="0" w:evenHBand="0" w:firstRowFirstColumn="0" w:firstRowLastColumn="0" w:lastRowFirstColumn="0" w:lastRowLastColumn="0"/>
            <w:tcW w:w="738" w:type="dxa"/>
          </w:tcPr>
          <w:p w14:paraId="2D5063FC" w14:textId="77777777" w:rsidR="00127982" w:rsidRPr="00355D96" w:rsidRDefault="00127982" w:rsidP="00407B21">
            <w:pPr>
              <w:pStyle w:val="TabeladesnoUMAR"/>
            </w:pPr>
            <w:r w:rsidRPr="00355D96">
              <w:t>100,6</w:t>
            </w:r>
          </w:p>
        </w:tc>
        <w:tc>
          <w:tcPr>
            <w:cnfStyle w:val="000010000000" w:firstRow="0" w:lastRow="0" w:firstColumn="0" w:lastColumn="0" w:oddVBand="1" w:evenVBand="0" w:oddHBand="0" w:evenHBand="0" w:firstRowFirstColumn="0" w:firstRowLastColumn="0" w:lastRowFirstColumn="0" w:lastRowLastColumn="0"/>
            <w:tcW w:w="738" w:type="dxa"/>
          </w:tcPr>
          <w:p w14:paraId="00188987" w14:textId="77777777" w:rsidR="00127982" w:rsidRPr="00355D96" w:rsidRDefault="00127982" w:rsidP="00407B21">
            <w:pPr>
              <w:pStyle w:val="TabeladesnoUMAR"/>
            </w:pPr>
            <w:r>
              <w:t>95,8</w:t>
            </w:r>
          </w:p>
        </w:tc>
        <w:tc>
          <w:tcPr>
            <w:cnfStyle w:val="000100000000" w:firstRow="0" w:lastRow="0" w:firstColumn="0" w:lastColumn="1" w:oddVBand="0" w:evenVBand="0" w:oddHBand="0" w:evenHBand="0" w:firstRowFirstColumn="0" w:firstRowLastColumn="0" w:lastRowFirstColumn="0" w:lastRowLastColumn="0"/>
            <w:tcW w:w="738" w:type="dxa"/>
          </w:tcPr>
          <w:p w14:paraId="48609E64" w14:textId="77777777" w:rsidR="00127982" w:rsidRPr="00355D96" w:rsidRDefault="00127982" w:rsidP="00407B21">
            <w:pPr>
              <w:pStyle w:val="TabeladesnoUMAR"/>
            </w:pPr>
            <w:r>
              <w:t>98,6</w:t>
            </w:r>
          </w:p>
        </w:tc>
      </w:tr>
      <w:tr w:rsidR="00127982" w:rsidRPr="00355D96" w14:paraId="5EEA747B"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9406" w:type="dxa"/>
            <w:gridSpan w:val="9"/>
          </w:tcPr>
          <w:p w14:paraId="1DF519C6" w14:textId="77777777" w:rsidR="00127982" w:rsidRPr="00355D96" w:rsidRDefault="00127982" w:rsidP="00407B21">
            <w:pPr>
              <w:pStyle w:val="TabelalevoUMAR"/>
            </w:pPr>
            <w:r w:rsidRPr="00355D96">
              <w:t>IZVOZNA USMERJENOST</w:t>
            </w:r>
          </w:p>
        </w:tc>
      </w:tr>
      <w:tr w:rsidR="00127982" w:rsidRPr="00355D96" w14:paraId="7ADFF1DD"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63836B52" w14:textId="77777777" w:rsidR="00127982" w:rsidRPr="00355D96" w:rsidRDefault="00127982" w:rsidP="00407B21">
            <w:pPr>
              <w:pStyle w:val="TabelalevoUMAR"/>
            </w:pPr>
            <w:r w:rsidRPr="00355D96">
              <w:t>Delež čistih prihodkov od prodaje na tujem trgu (v %)</w:t>
            </w:r>
          </w:p>
        </w:tc>
        <w:tc>
          <w:tcPr>
            <w:cnfStyle w:val="000010000000" w:firstRow="0" w:lastRow="0" w:firstColumn="0" w:lastColumn="0" w:oddVBand="1" w:evenVBand="0" w:oddHBand="0" w:evenHBand="0" w:firstRowFirstColumn="0" w:firstRowLastColumn="0" w:lastRowFirstColumn="0" w:lastRowLastColumn="0"/>
            <w:tcW w:w="737" w:type="dxa"/>
          </w:tcPr>
          <w:p w14:paraId="43B9246C" w14:textId="77777777" w:rsidR="00127982" w:rsidRPr="00355D96" w:rsidRDefault="00127982" w:rsidP="00407B21">
            <w:pPr>
              <w:pStyle w:val="TabeladesnoUMAR"/>
            </w:pPr>
            <w:r w:rsidRPr="00355D96">
              <w:t>17,2</w:t>
            </w:r>
          </w:p>
        </w:tc>
        <w:tc>
          <w:tcPr>
            <w:cnfStyle w:val="000001000000" w:firstRow="0" w:lastRow="0" w:firstColumn="0" w:lastColumn="0" w:oddVBand="0" w:evenVBand="1" w:oddHBand="0" w:evenHBand="0" w:firstRowFirstColumn="0" w:firstRowLastColumn="0" w:lastRowFirstColumn="0" w:lastRowLastColumn="0"/>
            <w:tcW w:w="738" w:type="dxa"/>
          </w:tcPr>
          <w:p w14:paraId="30B711D6" w14:textId="77777777" w:rsidR="00127982" w:rsidRPr="00355D96" w:rsidRDefault="00127982" w:rsidP="00407B21">
            <w:pPr>
              <w:pStyle w:val="TabeladesnoUMAR"/>
            </w:pPr>
            <w:r w:rsidRPr="00355D96">
              <w:t>15,2</w:t>
            </w:r>
          </w:p>
        </w:tc>
        <w:tc>
          <w:tcPr>
            <w:cnfStyle w:val="000010000000" w:firstRow="0" w:lastRow="0" w:firstColumn="0" w:lastColumn="0" w:oddVBand="1" w:evenVBand="0" w:oddHBand="0" w:evenHBand="0" w:firstRowFirstColumn="0" w:firstRowLastColumn="0" w:lastRowFirstColumn="0" w:lastRowLastColumn="0"/>
            <w:tcW w:w="738" w:type="dxa"/>
          </w:tcPr>
          <w:p w14:paraId="7A3406F8" w14:textId="77777777" w:rsidR="00127982" w:rsidRPr="00355D96" w:rsidRDefault="00127982" w:rsidP="00407B21">
            <w:pPr>
              <w:pStyle w:val="TabeladesnoUMAR"/>
            </w:pPr>
            <w:r w:rsidRPr="00355D96">
              <w:t>21,4</w:t>
            </w:r>
          </w:p>
        </w:tc>
        <w:tc>
          <w:tcPr>
            <w:cnfStyle w:val="000001000000" w:firstRow="0" w:lastRow="0" w:firstColumn="0" w:lastColumn="0" w:oddVBand="0" w:evenVBand="1" w:oddHBand="0" w:evenHBand="0" w:firstRowFirstColumn="0" w:firstRowLastColumn="0" w:lastRowFirstColumn="0" w:lastRowLastColumn="0"/>
            <w:tcW w:w="738" w:type="dxa"/>
          </w:tcPr>
          <w:p w14:paraId="38FC5C31" w14:textId="77777777" w:rsidR="00127982" w:rsidRPr="00355D96" w:rsidRDefault="00127982" w:rsidP="00407B21">
            <w:pPr>
              <w:pStyle w:val="TabeladesnoUMAR"/>
            </w:pPr>
            <w:r w:rsidRPr="00355D96">
              <w:t>26,9</w:t>
            </w:r>
          </w:p>
        </w:tc>
        <w:tc>
          <w:tcPr>
            <w:cnfStyle w:val="000010000000" w:firstRow="0" w:lastRow="0" w:firstColumn="0" w:lastColumn="0" w:oddVBand="1" w:evenVBand="0" w:oddHBand="0" w:evenHBand="0" w:firstRowFirstColumn="0" w:firstRowLastColumn="0" w:lastRowFirstColumn="0" w:lastRowLastColumn="0"/>
            <w:tcW w:w="738" w:type="dxa"/>
          </w:tcPr>
          <w:p w14:paraId="4469A6A2" w14:textId="77777777" w:rsidR="00127982" w:rsidRPr="00355D96" w:rsidRDefault="00127982" w:rsidP="00407B21">
            <w:pPr>
              <w:pStyle w:val="TabeladesnoUMAR"/>
            </w:pPr>
            <w:r w:rsidRPr="00355D96">
              <w:t>25,8</w:t>
            </w:r>
          </w:p>
        </w:tc>
        <w:tc>
          <w:tcPr>
            <w:cnfStyle w:val="000001000000" w:firstRow="0" w:lastRow="0" w:firstColumn="0" w:lastColumn="0" w:oddVBand="0" w:evenVBand="1" w:oddHBand="0" w:evenHBand="0" w:firstRowFirstColumn="0" w:firstRowLastColumn="0" w:lastRowFirstColumn="0" w:lastRowLastColumn="0"/>
            <w:tcW w:w="738" w:type="dxa"/>
          </w:tcPr>
          <w:p w14:paraId="242A5EBC" w14:textId="77777777" w:rsidR="00127982" w:rsidRPr="00355D96" w:rsidRDefault="00127982" w:rsidP="00407B21">
            <w:pPr>
              <w:pStyle w:val="TabeladesnoUMAR"/>
            </w:pPr>
            <w:r>
              <w:t>25,5</w:t>
            </w:r>
          </w:p>
        </w:tc>
        <w:tc>
          <w:tcPr>
            <w:cnfStyle w:val="000010000000" w:firstRow="0" w:lastRow="0" w:firstColumn="0" w:lastColumn="0" w:oddVBand="1" w:evenVBand="0" w:oddHBand="0" w:evenHBand="0" w:firstRowFirstColumn="0" w:firstRowLastColumn="0" w:lastRowFirstColumn="0" w:lastRowLastColumn="0"/>
            <w:tcW w:w="738" w:type="dxa"/>
          </w:tcPr>
          <w:p w14:paraId="08810986" w14:textId="77777777" w:rsidR="00127982" w:rsidRPr="00355D96" w:rsidRDefault="00127982" w:rsidP="00407B21">
            <w:pPr>
              <w:pStyle w:val="TabeladesnoUMAR"/>
            </w:pPr>
            <w:r>
              <w:t>29,3</w:t>
            </w:r>
          </w:p>
        </w:tc>
        <w:tc>
          <w:tcPr>
            <w:cnfStyle w:val="000100000000" w:firstRow="0" w:lastRow="0" w:firstColumn="0" w:lastColumn="1" w:oddVBand="0" w:evenVBand="0" w:oddHBand="0" w:evenHBand="0" w:firstRowFirstColumn="0" w:firstRowLastColumn="0" w:lastRowFirstColumn="0" w:lastRowLastColumn="0"/>
            <w:tcW w:w="738" w:type="dxa"/>
          </w:tcPr>
          <w:p w14:paraId="59570822" w14:textId="77777777" w:rsidR="00127982" w:rsidRPr="00355D96" w:rsidRDefault="00127982" w:rsidP="00407B21">
            <w:pPr>
              <w:pStyle w:val="TabeladesnoUMAR"/>
            </w:pPr>
            <w:r>
              <w:t>26,8</w:t>
            </w:r>
          </w:p>
        </w:tc>
      </w:tr>
      <w:tr w:rsidR="00127982" w:rsidRPr="00355D96" w14:paraId="7226BFF1"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9406" w:type="dxa"/>
            <w:gridSpan w:val="9"/>
          </w:tcPr>
          <w:p w14:paraId="7C4EB29A" w14:textId="77777777" w:rsidR="00127982" w:rsidRPr="00355D96" w:rsidRDefault="00127982" w:rsidP="00407B21">
            <w:pPr>
              <w:pStyle w:val="TabelalevoUMAR"/>
            </w:pPr>
            <w:r w:rsidRPr="00355D96">
              <w:t>STRUKTURA SREDSTEV</w:t>
            </w:r>
          </w:p>
        </w:tc>
      </w:tr>
      <w:tr w:rsidR="00127982" w:rsidRPr="00355D96" w14:paraId="6E9E64D7"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539E8672" w14:textId="77777777" w:rsidR="00127982" w:rsidRPr="00355D96" w:rsidRDefault="00127982" w:rsidP="00407B21">
            <w:pPr>
              <w:pStyle w:val="TabelalevoUMAR"/>
            </w:pPr>
            <w:r w:rsidRPr="00355D96">
              <w:t>Delež dolg. sredstev v sredstvih (v %)</w:t>
            </w:r>
          </w:p>
        </w:tc>
        <w:tc>
          <w:tcPr>
            <w:cnfStyle w:val="000010000000" w:firstRow="0" w:lastRow="0" w:firstColumn="0" w:lastColumn="0" w:oddVBand="1" w:evenVBand="0" w:oddHBand="0" w:evenHBand="0" w:firstRowFirstColumn="0" w:firstRowLastColumn="0" w:lastRowFirstColumn="0" w:lastRowLastColumn="0"/>
            <w:tcW w:w="737" w:type="dxa"/>
          </w:tcPr>
          <w:p w14:paraId="0398B409" w14:textId="77777777" w:rsidR="00127982" w:rsidRPr="00355D96" w:rsidRDefault="00127982" w:rsidP="00407B21">
            <w:pPr>
              <w:pStyle w:val="TabeladesnoUMAR"/>
            </w:pPr>
            <w:r w:rsidRPr="00355D96">
              <w:t>46,6</w:t>
            </w:r>
          </w:p>
        </w:tc>
        <w:tc>
          <w:tcPr>
            <w:cnfStyle w:val="000001000000" w:firstRow="0" w:lastRow="0" w:firstColumn="0" w:lastColumn="0" w:oddVBand="0" w:evenVBand="1" w:oddHBand="0" w:evenHBand="0" w:firstRowFirstColumn="0" w:firstRowLastColumn="0" w:lastRowFirstColumn="0" w:lastRowLastColumn="0"/>
            <w:tcW w:w="738" w:type="dxa"/>
          </w:tcPr>
          <w:p w14:paraId="143F70F9" w14:textId="77777777" w:rsidR="00127982" w:rsidRPr="00355D96" w:rsidRDefault="00127982" w:rsidP="00407B21">
            <w:pPr>
              <w:pStyle w:val="TabeladesnoUMAR"/>
            </w:pPr>
            <w:r w:rsidRPr="00355D96">
              <w:t>50,4</w:t>
            </w:r>
          </w:p>
        </w:tc>
        <w:tc>
          <w:tcPr>
            <w:cnfStyle w:val="000010000000" w:firstRow="0" w:lastRow="0" w:firstColumn="0" w:lastColumn="0" w:oddVBand="1" w:evenVBand="0" w:oddHBand="0" w:evenHBand="0" w:firstRowFirstColumn="0" w:firstRowLastColumn="0" w:lastRowFirstColumn="0" w:lastRowLastColumn="0"/>
            <w:tcW w:w="738" w:type="dxa"/>
          </w:tcPr>
          <w:p w14:paraId="60DDC0AB" w14:textId="77777777" w:rsidR="00127982" w:rsidRPr="00355D96" w:rsidRDefault="00127982" w:rsidP="00407B21">
            <w:pPr>
              <w:pStyle w:val="TabeladesnoUMAR"/>
            </w:pPr>
            <w:r w:rsidRPr="00355D96">
              <w:t>43,8</w:t>
            </w:r>
          </w:p>
        </w:tc>
        <w:tc>
          <w:tcPr>
            <w:cnfStyle w:val="000001000000" w:firstRow="0" w:lastRow="0" w:firstColumn="0" w:lastColumn="0" w:oddVBand="0" w:evenVBand="1" w:oddHBand="0" w:evenHBand="0" w:firstRowFirstColumn="0" w:firstRowLastColumn="0" w:lastRowFirstColumn="0" w:lastRowLastColumn="0"/>
            <w:tcW w:w="738" w:type="dxa"/>
          </w:tcPr>
          <w:p w14:paraId="36355383" w14:textId="77777777" w:rsidR="00127982" w:rsidRPr="00355D96" w:rsidRDefault="00127982" w:rsidP="00407B21">
            <w:pPr>
              <w:pStyle w:val="TabeladesnoUMAR"/>
            </w:pPr>
            <w:r w:rsidRPr="00355D96">
              <w:t>45,3</w:t>
            </w:r>
          </w:p>
        </w:tc>
        <w:tc>
          <w:tcPr>
            <w:cnfStyle w:val="000010000000" w:firstRow="0" w:lastRow="0" w:firstColumn="0" w:lastColumn="0" w:oddVBand="1" w:evenVBand="0" w:oddHBand="0" w:evenHBand="0" w:firstRowFirstColumn="0" w:firstRowLastColumn="0" w:lastRowFirstColumn="0" w:lastRowLastColumn="0"/>
            <w:tcW w:w="738" w:type="dxa"/>
          </w:tcPr>
          <w:p w14:paraId="36D197F1" w14:textId="77777777" w:rsidR="00127982" w:rsidRPr="00355D96" w:rsidRDefault="00127982" w:rsidP="00407B21">
            <w:pPr>
              <w:pStyle w:val="TabeladesnoUMAR"/>
            </w:pPr>
            <w:r w:rsidRPr="00355D96">
              <w:t>45,1</w:t>
            </w:r>
          </w:p>
        </w:tc>
        <w:tc>
          <w:tcPr>
            <w:cnfStyle w:val="000001000000" w:firstRow="0" w:lastRow="0" w:firstColumn="0" w:lastColumn="0" w:oddVBand="0" w:evenVBand="1" w:oddHBand="0" w:evenHBand="0" w:firstRowFirstColumn="0" w:firstRowLastColumn="0" w:lastRowFirstColumn="0" w:lastRowLastColumn="0"/>
            <w:tcW w:w="738" w:type="dxa"/>
          </w:tcPr>
          <w:p w14:paraId="21BEB9BE" w14:textId="77777777" w:rsidR="00127982" w:rsidRPr="00355D96" w:rsidRDefault="00127982" w:rsidP="00407B21">
            <w:pPr>
              <w:pStyle w:val="TabeladesnoUMAR"/>
            </w:pPr>
            <w:r w:rsidRPr="00355D96">
              <w:t>43,6</w:t>
            </w:r>
          </w:p>
        </w:tc>
        <w:tc>
          <w:tcPr>
            <w:cnfStyle w:val="000010000000" w:firstRow="0" w:lastRow="0" w:firstColumn="0" w:lastColumn="0" w:oddVBand="1" w:evenVBand="0" w:oddHBand="0" w:evenHBand="0" w:firstRowFirstColumn="0" w:firstRowLastColumn="0" w:lastRowFirstColumn="0" w:lastRowLastColumn="0"/>
            <w:tcW w:w="738" w:type="dxa"/>
          </w:tcPr>
          <w:p w14:paraId="2CE8628D" w14:textId="77777777" w:rsidR="00127982" w:rsidRPr="00355D96" w:rsidRDefault="00127982" w:rsidP="00407B21">
            <w:pPr>
              <w:pStyle w:val="TabeladesnoUMAR"/>
            </w:pPr>
            <w:r>
              <w:t>40,8</w:t>
            </w:r>
          </w:p>
        </w:tc>
        <w:tc>
          <w:tcPr>
            <w:cnfStyle w:val="000100000000" w:firstRow="0" w:lastRow="0" w:firstColumn="0" w:lastColumn="1" w:oddVBand="0" w:evenVBand="0" w:oddHBand="0" w:evenHBand="0" w:firstRowFirstColumn="0" w:firstRowLastColumn="0" w:lastRowFirstColumn="0" w:lastRowLastColumn="0"/>
            <w:tcW w:w="738" w:type="dxa"/>
          </w:tcPr>
          <w:p w14:paraId="6A197B5C" w14:textId="77777777" w:rsidR="00127982" w:rsidRPr="00355D96" w:rsidRDefault="00127982" w:rsidP="00407B21">
            <w:pPr>
              <w:pStyle w:val="TabeladesnoUMAR"/>
            </w:pPr>
            <w:r>
              <w:t>39,8</w:t>
            </w:r>
          </w:p>
        </w:tc>
      </w:tr>
      <w:tr w:rsidR="00127982" w:rsidRPr="00355D96" w14:paraId="6AEB864E" w14:textId="77777777" w:rsidTr="00407B21">
        <w:trPr>
          <w:trHeight w:val="301"/>
        </w:trPr>
        <w:tc>
          <w:tcPr>
            <w:cnfStyle w:val="001000000000" w:firstRow="0" w:lastRow="0" w:firstColumn="1" w:lastColumn="0" w:oddVBand="0" w:evenVBand="0" w:oddHBand="0" w:evenHBand="0" w:firstRowFirstColumn="0" w:firstRowLastColumn="0" w:lastRowFirstColumn="0" w:lastRowLastColumn="0"/>
            <w:tcW w:w="3503" w:type="dxa"/>
          </w:tcPr>
          <w:p w14:paraId="4D8F85F0" w14:textId="77777777" w:rsidR="00127982" w:rsidRPr="00355D96" w:rsidRDefault="00127982" w:rsidP="00407B21">
            <w:pPr>
              <w:pStyle w:val="TabelalevoUMAR"/>
            </w:pPr>
            <w:r w:rsidRPr="00355D96">
              <w:t>Delež strojev in naprav ter druge opreme in naprav v dolgoročnih sredstvih (v %)</w:t>
            </w:r>
          </w:p>
        </w:tc>
        <w:tc>
          <w:tcPr>
            <w:cnfStyle w:val="000010000000" w:firstRow="0" w:lastRow="0" w:firstColumn="0" w:lastColumn="0" w:oddVBand="1" w:evenVBand="0" w:oddHBand="0" w:evenHBand="0" w:firstRowFirstColumn="0" w:firstRowLastColumn="0" w:lastRowFirstColumn="0" w:lastRowLastColumn="0"/>
            <w:tcW w:w="737" w:type="dxa"/>
          </w:tcPr>
          <w:p w14:paraId="16122F84" w14:textId="77777777" w:rsidR="00127982" w:rsidRPr="00355D96" w:rsidRDefault="00127982" w:rsidP="00407B21">
            <w:pPr>
              <w:pStyle w:val="TabeladesnoUMAR"/>
            </w:pPr>
            <w:r w:rsidRPr="00355D96">
              <w:t>10,2</w:t>
            </w:r>
          </w:p>
        </w:tc>
        <w:tc>
          <w:tcPr>
            <w:cnfStyle w:val="000001000000" w:firstRow="0" w:lastRow="0" w:firstColumn="0" w:lastColumn="0" w:oddVBand="0" w:evenVBand="1" w:oddHBand="0" w:evenHBand="0" w:firstRowFirstColumn="0" w:firstRowLastColumn="0" w:lastRowFirstColumn="0" w:lastRowLastColumn="0"/>
            <w:tcW w:w="738" w:type="dxa"/>
          </w:tcPr>
          <w:p w14:paraId="52B5A0EF" w14:textId="77777777" w:rsidR="00127982" w:rsidRPr="00355D96" w:rsidRDefault="00127982" w:rsidP="00407B21">
            <w:pPr>
              <w:pStyle w:val="TabeladesnoUMAR"/>
            </w:pPr>
            <w:r w:rsidRPr="00355D96">
              <w:t>9,3</w:t>
            </w:r>
          </w:p>
        </w:tc>
        <w:tc>
          <w:tcPr>
            <w:cnfStyle w:val="000010000000" w:firstRow="0" w:lastRow="0" w:firstColumn="0" w:lastColumn="0" w:oddVBand="1" w:evenVBand="0" w:oddHBand="0" w:evenHBand="0" w:firstRowFirstColumn="0" w:firstRowLastColumn="0" w:lastRowFirstColumn="0" w:lastRowLastColumn="0"/>
            <w:tcW w:w="738" w:type="dxa"/>
          </w:tcPr>
          <w:p w14:paraId="1CEBE3B1" w14:textId="77777777" w:rsidR="00127982" w:rsidRPr="00355D96" w:rsidRDefault="00127982" w:rsidP="00407B21">
            <w:pPr>
              <w:pStyle w:val="TabeladesnoUMAR"/>
            </w:pPr>
            <w:r w:rsidRPr="00355D96">
              <w:t>10,8</w:t>
            </w:r>
          </w:p>
        </w:tc>
        <w:tc>
          <w:tcPr>
            <w:cnfStyle w:val="000001000000" w:firstRow="0" w:lastRow="0" w:firstColumn="0" w:lastColumn="0" w:oddVBand="0" w:evenVBand="1" w:oddHBand="0" w:evenHBand="0" w:firstRowFirstColumn="0" w:firstRowLastColumn="0" w:lastRowFirstColumn="0" w:lastRowLastColumn="0"/>
            <w:tcW w:w="738" w:type="dxa"/>
          </w:tcPr>
          <w:p w14:paraId="208AC23D" w14:textId="77777777" w:rsidR="00127982" w:rsidRPr="00355D96" w:rsidRDefault="00127982" w:rsidP="00407B21">
            <w:pPr>
              <w:pStyle w:val="TabeladesnoUMAR"/>
            </w:pPr>
            <w:r w:rsidRPr="00355D96">
              <w:t>12,0</w:t>
            </w:r>
          </w:p>
        </w:tc>
        <w:tc>
          <w:tcPr>
            <w:cnfStyle w:val="000010000000" w:firstRow="0" w:lastRow="0" w:firstColumn="0" w:lastColumn="0" w:oddVBand="1" w:evenVBand="0" w:oddHBand="0" w:evenHBand="0" w:firstRowFirstColumn="0" w:firstRowLastColumn="0" w:lastRowFirstColumn="0" w:lastRowLastColumn="0"/>
            <w:tcW w:w="738" w:type="dxa"/>
          </w:tcPr>
          <w:p w14:paraId="064A55D6" w14:textId="77777777" w:rsidR="00127982" w:rsidRPr="00355D96" w:rsidRDefault="00127982" w:rsidP="00407B21">
            <w:pPr>
              <w:pStyle w:val="TabeladesnoUMAR"/>
            </w:pPr>
            <w:r w:rsidRPr="00355D96">
              <w:t>12,0</w:t>
            </w:r>
          </w:p>
        </w:tc>
        <w:tc>
          <w:tcPr>
            <w:cnfStyle w:val="000001000000" w:firstRow="0" w:lastRow="0" w:firstColumn="0" w:lastColumn="0" w:oddVBand="0" w:evenVBand="1" w:oddHBand="0" w:evenHBand="0" w:firstRowFirstColumn="0" w:firstRowLastColumn="0" w:lastRowFirstColumn="0" w:lastRowLastColumn="0"/>
            <w:tcW w:w="738" w:type="dxa"/>
          </w:tcPr>
          <w:p w14:paraId="6CCBA4A4" w14:textId="77777777" w:rsidR="00127982" w:rsidRPr="00355D96" w:rsidRDefault="00127982" w:rsidP="00407B21">
            <w:pPr>
              <w:pStyle w:val="TabeladesnoUMAR"/>
            </w:pPr>
            <w:r w:rsidRPr="00355D96">
              <w:t>11,7</w:t>
            </w:r>
          </w:p>
        </w:tc>
        <w:tc>
          <w:tcPr>
            <w:cnfStyle w:val="000010000000" w:firstRow="0" w:lastRow="0" w:firstColumn="0" w:lastColumn="0" w:oddVBand="1" w:evenVBand="0" w:oddHBand="0" w:evenHBand="0" w:firstRowFirstColumn="0" w:firstRowLastColumn="0" w:lastRowFirstColumn="0" w:lastRowLastColumn="0"/>
            <w:tcW w:w="738" w:type="dxa"/>
          </w:tcPr>
          <w:p w14:paraId="5B7826BB" w14:textId="77777777" w:rsidR="00127982" w:rsidRPr="00355D96" w:rsidRDefault="00127982" w:rsidP="00407B21">
            <w:pPr>
              <w:pStyle w:val="TabeladesnoUMAR"/>
            </w:pPr>
            <w:r>
              <w:t>12,7</w:t>
            </w:r>
          </w:p>
        </w:tc>
        <w:tc>
          <w:tcPr>
            <w:cnfStyle w:val="000100000000" w:firstRow="0" w:lastRow="0" w:firstColumn="0" w:lastColumn="1" w:oddVBand="0" w:evenVBand="0" w:oddHBand="0" w:evenHBand="0" w:firstRowFirstColumn="0" w:firstRowLastColumn="0" w:lastRowFirstColumn="0" w:lastRowLastColumn="0"/>
            <w:tcW w:w="738" w:type="dxa"/>
          </w:tcPr>
          <w:p w14:paraId="2B72B737" w14:textId="77777777" w:rsidR="00127982" w:rsidRPr="00355D96" w:rsidRDefault="00127982" w:rsidP="00407B21">
            <w:pPr>
              <w:pStyle w:val="TabeladesnoUMAR"/>
            </w:pPr>
            <w:r>
              <w:t>14,3</w:t>
            </w:r>
          </w:p>
        </w:tc>
      </w:tr>
    </w:tbl>
    <w:p w14:paraId="688C498E" w14:textId="77777777" w:rsidR="00127982" w:rsidRPr="00F4169E" w:rsidRDefault="00127982" w:rsidP="00127982">
      <w:pPr>
        <w:pStyle w:val="BesediloUMAR"/>
      </w:pPr>
    </w:p>
    <w:p w14:paraId="68EECA17" w14:textId="3A1DCB90" w:rsidR="00127982" w:rsidRDefault="00127982" w:rsidP="00127982">
      <w:pPr>
        <w:pStyle w:val="VirUMAR"/>
        <w:rPr>
          <w:rStyle w:val="DZBesediloChar"/>
          <w:noProof/>
        </w:rPr>
      </w:pPr>
      <w:r w:rsidRPr="008F6BED">
        <w:t>Vir podatkov:</w:t>
      </w:r>
      <w:r>
        <w:t xml:space="preserve"> </w:t>
      </w:r>
      <w:r>
        <w:fldChar w:fldCharType="begin"/>
      </w:r>
      <w:r w:rsidR="00317ED8">
        <w:instrText xml:space="preserve"> ADDIN ZOTERO_ITEM CSL_CITATION {"citationID":"9c3In9HW","properties":{"formattedCitation":"(AJPES, 2024)","plainCitation":"(AJPES, 2024)","noteIndex":0},"citationItems":[{"id":3,"uris":["http://zotero.org/users/8372339/items/IC2SCV5C",["http://zotero.org/users/8372339/items/IC2SCV5C"]],"itemData":{"id":3,"type":"report","event-place":"Ljubljana","publisher":"Agencija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podjetnike","author":[{"family":"AJPES","given":""}],"issued":{"date-parts":[["2024"]]}},"label":"page"}],"schema":"https://github.com/citation-style-language/schema/raw/master/csl-citation.json"} </w:instrText>
      </w:r>
      <w:r>
        <w:fldChar w:fldCharType="separate"/>
      </w:r>
      <w:r w:rsidR="00317ED8" w:rsidRPr="00317ED8">
        <w:t xml:space="preserve">AJPES </w:t>
      </w:r>
      <w:r w:rsidR="00317ED8">
        <w:t>(</w:t>
      </w:r>
      <w:r w:rsidR="00317ED8" w:rsidRPr="00317ED8">
        <w:t>2024)</w:t>
      </w:r>
      <w:r>
        <w:fldChar w:fldCharType="end"/>
      </w:r>
      <w:r w:rsidRPr="008F6BED">
        <w:t>, lastni izračuni.</w:t>
      </w:r>
      <w:r>
        <w:t xml:space="preserve"> </w:t>
      </w:r>
      <w:r w:rsidRPr="008137B9">
        <w:rPr>
          <w:rStyle w:val="DZBesediloChar"/>
          <w:noProof/>
        </w:rPr>
        <w:t xml:space="preserve">Opombe: </w:t>
      </w:r>
      <w:r w:rsidRPr="008137B9">
        <w:rPr>
          <w:rStyle w:val="DZBesediloChar"/>
          <w:noProof/>
          <w:vertAlign w:val="superscript"/>
        </w:rPr>
        <w:t>1</w:t>
      </w:r>
      <w:r w:rsidRPr="008137B9">
        <w:rPr>
          <w:rStyle w:val="DZBesediloChar"/>
          <w:noProof/>
        </w:rPr>
        <w:t xml:space="preserve"> Podatki o številu zaposlenih pomenijo povprečno število zaposlen</w:t>
      </w:r>
      <w:r>
        <w:rPr>
          <w:rStyle w:val="DZBesediloChar"/>
          <w:noProof/>
        </w:rPr>
        <w:t>ih</w:t>
      </w:r>
      <w:r w:rsidRPr="008137B9">
        <w:rPr>
          <w:rStyle w:val="DZBesediloChar"/>
          <w:noProof/>
        </w:rPr>
        <w:t xml:space="preserve"> na podlagi delovnih ur v obračunskem obdobju in se zato razlikujejo od podatkov o številu zaposlenih, ki jih objavlja SURS. </w:t>
      </w:r>
      <w:r w:rsidRPr="008137B9">
        <w:rPr>
          <w:rStyle w:val="DZBesediloChar"/>
          <w:noProof/>
          <w:vertAlign w:val="superscript"/>
        </w:rPr>
        <w:t>2</w:t>
      </w:r>
      <w:r w:rsidRPr="008137B9">
        <w:rPr>
          <w:rStyle w:val="DZBesediloChar"/>
          <w:noProof/>
        </w:rPr>
        <w:t xml:space="preserve"> Razlika med čistim dobičkom in izgubo obračunskega obdobja.</w:t>
      </w:r>
    </w:p>
    <w:p w14:paraId="249CBC96" w14:textId="77777777" w:rsidR="00127982" w:rsidRDefault="00127982" w:rsidP="009D6F28">
      <w:pPr>
        <w:pStyle w:val="BesediloUMAR"/>
      </w:pPr>
    </w:p>
    <w:p w14:paraId="0AF96DA3" w14:textId="79115EC8" w:rsidR="00127982" w:rsidRPr="00127982" w:rsidRDefault="00127982" w:rsidP="00127982">
      <w:pPr>
        <w:keepNext/>
        <w:keepLines/>
        <w:tabs>
          <w:tab w:val="right" w:leader="dot" w:pos="9070"/>
        </w:tabs>
        <w:spacing w:before="240" w:after="60" w:line="288" w:lineRule="auto"/>
        <w:contextualSpacing/>
        <w:jc w:val="both"/>
        <w:rPr>
          <w:rFonts w:ascii="Myriad Pro" w:hAnsi="Myriad Pro"/>
          <w:b/>
          <w:bCs/>
          <w:noProof/>
          <w:sz w:val="20"/>
          <w:szCs w:val="20"/>
        </w:rPr>
      </w:pPr>
      <w:r w:rsidRPr="00127982">
        <w:rPr>
          <w:rFonts w:ascii="Myriad Pro" w:hAnsi="Myriad Pro"/>
          <w:b/>
          <w:bCs/>
          <w:noProof/>
          <w:sz w:val="20"/>
          <w:szCs w:val="20"/>
        </w:rPr>
        <w:lastRenderedPageBreak/>
        <w:t xml:space="preserve">Slika </w:t>
      </w:r>
      <w:r w:rsidRPr="00127982">
        <w:rPr>
          <w:rFonts w:ascii="Myriad Pro" w:hAnsi="Myriad Pro"/>
          <w:b/>
          <w:bCs/>
          <w:noProof/>
          <w:sz w:val="20"/>
          <w:szCs w:val="20"/>
        </w:rPr>
        <w:fldChar w:fldCharType="begin"/>
      </w:r>
      <w:r w:rsidRPr="00127982">
        <w:rPr>
          <w:rFonts w:ascii="Myriad Pro" w:hAnsi="Myriad Pro"/>
          <w:b/>
          <w:bCs/>
          <w:noProof/>
          <w:sz w:val="20"/>
          <w:szCs w:val="20"/>
        </w:rPr>
        <w:instrText xml:space="preserve"> SEQ Slika \* ARABIC </w:instrText>
      </w:r>
      <w:r w:rsidRPr="00127982">
        <w:rPr>
          <w:rFonts w:ascii="Myriad Pro" w:hAnsi="Myriad Pro"/>
          <w:b/>
          <w:bCs/>
          <w:noProof/>
          <w:sz w:val="20"/>
          <w:szCs w:val="20"/>
        </w:rPr>
        <w:fldChar w:fldCharType="separate"/>
      </w:r>
      <w:r w:rsidRPr="00127982">
        <w:rPr>
          <w:rFonts w:ascii="Myriad Pro" w:hAnsi="Myriad Pro"/>
          <w:b/>
          <w:bCs/>
          <w:noProof/>
          <w:sz w:val="20"/>
          <w:szCs w:val="20"/>
        </w:rPr>
        <w:t>2</w:t>
      </w:r>
      <w:r w:rsidRPr="00127982">
        <w:rPr>
          <w:rFonts w:ascii="Myriad Pro" w:hAnsi="Myriad Pro"/>
          <w:b/>
          <w:bCs/>
          <w:noProof/>
          <w:sz w:val="20"/>
          <w:szCs w:val="20"/>
        </w:rPr>
        <w:fldChar w:fldCharType="end"/>
      </w:r>
      <w:r w:rsidRPr="00127982">
        <w:rPr>
          <w:rFonts w:ascii="Myriad Pro" w:hAnsi="Myriad Pro"/>
          <w:b/>
          <w:bCs/>
          <w:noProof/>
          <w:sz w:val="20"/>
          <w:szCs w:val="20"/>
        </w:rPr>
        <w:t xml:space="preserve">: Rast stroškov dela na zaposlenega povprečne trgovske družbe je </w:t>
      </w:r>
      <w:r w:rsidR="008F42D6">
        <w:rPr>
          <w:rFonts w:ascii="Myriad Pro" w:hAnsi="Myriad Pro"/>
          <w:b/>
          <w:bCs/>
          <w:noProof/>
          <w:sz w:val="20"/>
          <w:szCs w:val="20"/>
        </w:rPr>
        <w:t xml:space="preserve">tudi </w:t>
      </w:r>
      <w:r w:rsidRPr="00127982">
        <w:rPr>
          <w:rFonts w:ascii="Myriad Pro" w:hAnsi="Myriad Pro"/>
          <w:b/>
          <w:bCs/>
          <w:noProof/>
          <w:sz w:val="20"/>
          <w:szCs w:val="20"/>
        </w:rPr>
        <w:t>v letu 202</w:t>
      </w:r>
      <w:r w:rsidR="008F42D6">
        <w:rPr>
          <w:rFonts w:ascii="Myriad Pro" w:hAnsi="Myriad Pro"/>
          <w:b/>
          <w:bCs/>
          <w:noProof/>
          <w:sz w:val="20"/>
          <w:szCs w:val="20"/>
        </w:rPr>
        <w:t>3</w:t>
      </w:r>
      <w:r w:rsidRPr="00127982">
        <w:rPr>
          <w:rFonts w:ascii="Myriad Pro" w:hAnsi="Myriad Pro"/>
          <w:b/>
          <w:bCs/>
          <w:noProof/>
          <w:sz w:val="20"/>
          <w:szCs w:val="20"/>
        </w:rPr>
        <w:t xml:space="preserve"> presegla rast dodane vrednosti na zaposlenega </w:t>
      </w:r>
    </w:p>
    <w:p w14:paraId="1DEFCDEC" w14:textId="448E7374" w:rsidR="00127982" w:rsidRPr="00127982" w:rsidRDefault="002407A0" w:rsidP="00127982">
      <w:pPr>
        <w:spacing w:after="0" w:line="288" w:lineRule="auto"/>
        <w:jc w:val="both"/>
        <w:rPr>
          <w:rFonts w:ascii="Myriad Pro" w:hAnsi="Myriad Pro"/>
          <w:sz w:val="20"/>
        </w:rPr>
      </w:pPr>
      <w:r w:rsidRPr="002407A0">
        <w:rPr>
          <w:noProof/>
        </w:rPr>
        <w:drawing>
          <wp:inline distT="0" distB="0" distL="0" distR="0" wp14:anchorId="63D0CD26" wp14:editId="484232E5">
            <wp:extent cx="5759450" cy="23558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2355850"/>
                    </a:xfrm>
                    <a:prstGeom prst="rect">
                      <a:avLst/>
                    </a:prstGeom>
                    <a:noFill/>
                    <a:ln>
                      <a:noFill/>
                    </a:ln>
                  </pic:spPr>
                </pic:pic>
              </a:graphicData>
            </a:graphic>
          </wp:inline>
        </w:drawing>
      </w:r>
    </w:p>
    <w:p w14:paraId="13BBAA0F" w14:textId="0C44A027" w:rsidR="00127982" w:rsidRPr="00127982" w:rsidRDefault="00127982" w:rsidP="00127982">
      <w:pPr>
        <w:spacing w:before="40" w:after="0" w:line="240" w:lineRule="auto"/>
        <w:jc w:val="both"/>
        <w:rPr>
          <w:rFonts w:ascii="Myriad Pro" w:hAnsi="Myriad Pro"/>
          <w:noProof/>
          <w:sz w:val="16"/>
        </w:rPr>
      </w:pPr>
      <w:r w:rsidRPr="00127982">
        <w:rPr>
          <w:rFonts w:ascii="Myriad Pro" w:hAnsi="Myriad Pro"/>
          <w:sz w:val="16"/>
        </w:rPr>
        <w:t xml:space="preserve">Vir podatkov: </w:t>
      </w:r>
      <w:r w:rsidRPr="00127982">
        <w:rPr>
          <w:rFonts w:ascii="Myriad Pro" w:hAnsi="Myriad Pro"/>
          <w:sz w:val="16"/>
        </w:rPr>
        <w:fldChar w:fldCharType="begin"/>
      </w:r>
      <w:r w:rsidR="00317ED8">
        <w:rPr>
          <w:rFonts w:ascii="Myriad Pro" w:hAnsi="Myriad Pro"/>
          <w:sz w:val="16"/>
        </w:rPr>
        <w:instrText xml:space="preserve"> ADDIN ZOTERO_ITEM CSL_CITATION {"citationID":"zV0SSLfj","properties":{"formattedCitation":"(AJPES, 2024)","plainCitation":"(AJPES, 2024)","noteIndex":0},"citationItems":[{"id":3,"uris":["http://zotero.org/users/8372339/items/IC2SCV5C",["http://zotero.org/users/8372339/items/IC2SCV5C"]],"itemData":{"id":3,"type":"report","event-place":"Ljubljana","publisher":"Agencija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rsidRPr="00127982">
        <w:rPr>
          <w:rFonts w:ascii="Myriad Pro" w:hAnsi="Myriad Pro"/>
          <w:sz w:val="16"/>
        </w:rPr>
        <w:fldChar w:fldCharType="separate"/>
      </w:r>
      <w:r w:rsidR="00317ED8" w:rsidRPr="00317ED8">
        <w:rPr>
          <w:rFonts w:ascii="Myriad Pro" w:hAnsi="Myriad Pro"/>
          <w:sz w:val="16"/>
        </w:rPr>
        <w:t xml:space="preserve">AJPES </w:t>
      </w:r>
      <w:r w:rsidR="00317ED8">
        <w:rPr>
          <w:rFonts w:ascii="Myriad Pro" w:hAnsi="Myriad Pro"/>
          <w:sz w:val="16"/>
        </w:rPr>
        <w:t>(</w:t>
      </w:r>
      <w:r w:rsidR="00317ED8" w:rsidRPr="00317ED8">
        <w:rPr>
          <w:rFonts w:ascii="Myriad Pro" w:hAnsi="Myriad Pro"/>
          <w:sz w:val="16"/>
        </w:rPr>
        <w:t>2024)</w:t>
      </w:r>
      <w:r w:rsidRPr="00127982">
        <w:rPr>
          <w:rFonts w:ascii="Myriad Pro" w:hAnsi="Myriad Pro"/>
          <w:sz w:val="16"/>
        </w:rPr>
        <w:fldChar w:fldCharType="end"/>
      </w:r>
      <w:r w:rsidRPr="00127982">
        <w:rPr>
          <w:rFonts w:ascii="Myriad Pro" w:hAnsi="Myriad Pro"/>
          <w:sz w:val="16"/>
        </w:rPr>
        <w:t>, lastni izračuni.</w:t>
      </w:r>
    </w:p>
    <w:p w14:paraId="2177B454" w14:textId="77777777" w:rsidR="00127982" w:rsidRPr="00127982" w:rsidRDefault="00127982" w:rsidP="00127982">
      <w:pPr>
        <w:spacing w:before="40" w:after="0" w:line="240" w:lineRule="auto"/>
        <w:jc w:val="both"/>
        <w:rPr>
          <w:rFonts w:ascii="Myriad Pro" w:hAnsi="Myriad Pro"/>
          <w:sz w:val="16"/>
        </w:rPr>
      </w:pPr>
    </w:p>
    <w:p w14:paraId="084DBACF" w14:textId="61F325CE" w:rsidR="00127982" w:rsidRDefault="00127982" w:rsidP="00127982">
      <w:pPr>
        <w:spacing w:after="0" w:line="288" w:lineRule="auto"/>
        <w:jc w:val="both"/>
        <w:rPr>
          <w:rFonts w:ascii="Myriad Pro" w:hAnsi="Myriad Pro"/>
          <w:sz w:val="20"/>
        </w:rPr>
      </w:pPr>
      <w:r w:rsidRPr="00127982">
        <w:rPr>
          <w:rFonts w:ascii="Myriad Pro" w:hAnsi="Myriad Pro"/>
          <w:b/>
          <w:sz w:val="20"/>
        </w:rPr>
        <w:t>Dodana vrednost in produktivnost se je v letu 202</w:t>
      </w:r>
      <w:r w:rsidR="00735186">
        <w:rPr>
          <w:rFonts w:ascii="Myriad Pro" w:hAnsi="Myriad Pro"/>
          <w:b/>
          <w:sz w:val="20"/>
        </w:rPr>
        <w:t>3</w:t>
      </w:r>
      <w:r w:rsidRPr="00127982">
        <w:rPr>
          <w:rFonts w:ascii="Myriad Pro" w:hAnsi="Myriad Pro"/>
          <w:b/>
          <w:sz w:val="20"/>
        </w:rPr>
        <w:t xml:space="preserve"> povečala v družbah </w:t>
      </w:r>
      <w:r w:rsidR="00735186">
        <w:rPr>
          <w:rFonts w:ascii="Myriad Pro" w:hAnsi="Myriad Pro"/>
          <w:b/>
          <w:sz w:val="20"/>
        </w:rPr>
        <w:t>vseh treh oddelkov</w:t>
      </w:r>
      <w:r w:rsidRPr="00127982">
        <w:rPr>
          <w:rFonts w:ascii="Myriad Pro" w:hAnsi="Myriad Pro"/>
          <w:b/>
          <w:sz w:val="20"/>
        </w:rPr>
        <w:t>.</w:t>
      </w:r>
      <w:r w:rsidRPr="00127982">
        <w:rPr>
          <w:rFonts w:ascii="Myriad Pro" w:hAnsi="Myriad Pro"/>
          <w:sz w:val="20"/>
        </w:rPr>
        <w:t xml:space="preserve"> Po visoki</w:t>
      </w:r>
      <w:r w:rsidR="00F3522C">
        <w:rPr>
          <w:rFonts w:ascii="Myriad Pro" w:hAnsi="Myriad Pro"/>
          <w:sz w:val="20"/>
        </w:rPr>
        <w:t>h</w:t>
      </w:r>
      <w:r w:rsidRPr="00127982">
        <w:rPr>
          <w:rFonts w:ascii="Myriad Pro" w:hAnsi="Myriad Pro"/>
          <w:sz w:val="20"/>
        </w:rPr>
        <w:t xml:space="preserve"> rast</w:t>
      </w:r>
      <w:r w:rsidR="00F3522C">
        <w:rPr>
          <w:rFonts w:ascii="Myriad Pro" w:hAnsi="Myriad Pro"/>
          <w:sz w:val="20"/>
        </w:rPr>
        <w:t>eh</w:t>
      </w:r>
      <w:r w:rsidRPr="00127982">
        <w:rPr>
          <w:rFonts w:ascii="Myriad Pro" w:hAnsi="Myriad Pro"/>
          <w:sz w:val="20"/>
        </w:rPr>
        <w:t xml:space="preserve"> v let</w:t>
      </w:r>
      <w:r w:rsidR="00F3522C">
        <w:rPr>
          <w:rFonts w:ascii="Myriad Pro" w:hAnsi="Myriad Pro"/>
          <w:sz w:val="20"/>
        </w:rPr>
        <w:t>ih</w:t>
      </w:r>
      <w:r w:rsidRPr="00127982">
        <w:rPr>
          <w:rFonts w:ascii="Myriad Pro" w:hAnsi="Myriad Pro"/>
          <w:sz w:val="20"/>
        </w:rPr>
        <w:t xml:space="preserve"> 202</w:t>
      </w:r>
      <w:r w:rsidR="00F3522C">
        <w:rPr>
          <w:rFonts w:ascii="Myriad Pro" w:hAnsi="Myriad Pro"/>
          <w:sz w:val="20"/>
        </w:rPr>
        <w:t>1 in 2022</w:t>
      </w:r>
      <w:r w:rsidRPr="00127982">
        <w:rPr>
          <w:rFonts w:ascii="Myriad Pro" w:hAnsi="Myriad Pro"/>
          <w:sz w:val="20"/>
        </w:rPr>
        <w:t xml:space="preserve"> </w:t>
      </w:r>
      <w:r w:rsidR="00F3522C">
        <w:rPr>
          <w:rFonts w:ascii="Myriad Pro" w:hAnsi="Myriad Pro"/>
          <w:sz w:val="20"/>
        </w:rPr>
        <w:t>se je</w:t>
      </w:r>
      <w:r w:rsidRPr="00127982">
        <w:rPr>
          <w:rFonts w:ascii="Myriad Pro" w:hAnsi="Myriad Pro"/>
          <w:sz w:val="20"/>
        </w:rPr>
        <w:t xml:space="preserve"> dodan</w:t>
      </w:r>
      <w:r w:rsidR="00F3522C">
        <w:rPr>
          <w:rFonts w:ascii="Myriad Pro" w:hAnsi="Myriad Pro"/>
          <w:sz w:val="20"/>
        </w:rPr>
        <w:t>a</w:t>
      </w:r>
      <w:r w:rsidRPr="00127982">
        <w:rPr>
          <w:rFonts w:ascii="Myriad Pro" w:hAnsi="Myriad Pro"/>
          <w:sz w:val="20"/>
        </w:rPr>
        <w:t xml:space="preserve"> vrednost</w:t>
      </w:r>
      <w:r w:rsidR="00F3522C" w:rsidRPr="00F3522C">
        <w:rPr>
          <w:rFonts w:ascii="Myriad Pro" w:hAnsi="Myriad Pro"/>
          <w:sz w:val="20"/>
        </w:rPr>
        <w:t xml:space="preserve"> </w:t>
      </w:r>
      <w:r w:rsidR="00F3522C" w:rsidRPr="00127982">
        <w:rPr>
          <w:rFonts w:ascii="Myriad Pro" w:hAnsi="Myriad Pro"/>
          <w:sz w:val="20"/>
        </w:rPr>
        <w:t xml:space="preserve">družb trgovine z motornimi vozili in njihovimi popravili </w:t>
      </w:r>
      <w:r w:rsidR="00F3522C">
        <w:rPr>
          <w:rFonts w:ascii="Myriad Pro" w:hAnsi="Myriad Pro"/>
          <w:sz w:val="20"/>
        </w:rPr>
        <w:t>v letu 2023</w:t>
      </w:r>
      <w:r w:rsidR="00AF2A67">
        <w:rPr>
          <w:rFonts w:ascii="Myriad Pro" w:hAnsi="Myriad Pro"/>
          <w:sz w:val="20"/>
        </w:rPr>
        <w:t xml:space="preserve"> </w:t>
      </w:r>
      <w:r w:rsidR="00F3522C">
        <w:rPr>
          <w:rFonts w:ascii="Myriad Pro" w:hAnsi="Myriad Pro"/>
          <w:sz w:val="20"/>
        </w:rPr>
        <w:t>povečala še za 14 % in bila glede na leto 2019 večja za 64 %, kar je precej več kot v povprečju gospodarskih družb (38 %)</w:t>
      </w:r>
      <w:r w:rsidR="00F3522C" w:rsidRPr="00127982">
        <w:rPr>
          <w:rFonts w:ascii="Myriad Pro" w:hAnsi="Myriad Pro"/>
          <w:sz w:val="20"/>
        </w:rPr>
        <w:t>.</w:t>
      </w:r>
      <w:r w:rsidR="00F3522C">
        <w:rPr>
          <w:rFonts w:ascii="Myriad Pro" w:hAnsi="Myriad Pro"/>
          <w:sz w:val="20"/>
        </w:rPr>
        <w:t xml:space="preserve"> Visoko rast (14 %) so v letu 2023 </w:t>
      </w:r>
      <w:r w:rsidR="00F3522C" w:rsidRPr="00127982">
        <w:rPr>
          <w:rFonts w:ascii="Myriad Pro" w:hAnsi="Myriad Pro"/>
          <w:sz w:val="20"/>
        </w:rPr>
        <w:t xml:space="preserve">dosegle </w:t>
      </w:r>
      <w:r w:rsidR="00F3522C">
        <w:rPr>
          <w:rFonts w:ascii="Myriad Pro" w:hAnsi="Myriad Pro"/>
          <w:sz w:val="20"/>
        </w:rPr>
        <w:t xml:space="preserve">tudi </w:t>
      </w:r>
      <w:r w:rsidR="00F3522C" w:rsidRPr="00127982">
        <w:rPr>
          <w:rFonts w:ascii="Myriad Pro" w:hAnsi="Myriad Pro"/>
          <w:sz w:val="20"/>
        </w:rPr>
        <w:t>družbe</w:t>
      </w:r>
      <w:r w:rsidR="00F3522C" w:rsidRPr="00F3522C">
        <w:rPr>
          <w:rFonts w:ascii="Myriad Pro" w:hAnsi="Myriad Pro"/>
          <w:sz w:val="20"/>
        </w:rPr>
        <w:t xml:space="preserve"> </w:t>
      </w:r>
      <w:r w:rsidR="00F3522C" w:rsidRPr="00127982">
        <w:rPr>
          <w:rFonts w:ascii="Myriad Pro" w:hAnsi="Myriad Pro"/>
          <w:sz w:val="20"/>
        </w:rPr>
        <w:t>oddelka trgovine na drobno, razen z motornimi vozili</w:t>
      </w:r>
      <w:r w:rsidR="00F3522C">
        <w:rPr>
          <w:rFonts w:ascii="Myriad Pro" w:hAnsi="Myriad Pro"/>
          <w:sz w:val="20"/>
        </w:rPr>
        <w:t xml:space="preserve">, katerih poslovanje od epidemije zelo </w:t>
      </w:r>
      <w:r w:rsidR="00F3522C" w:rsidRPr="00F67E56">
        <w:rPr>
          <w:rFonts w:ascii="Myriad Pro" w:hAnsi="Myriad Pro"/>
          <w:sz w:val="20"/>
        </w:rPr>
        <w:t>niha. Po tem ko je</w:t>
      </w:r>
      <w:r w:rsidR="00F3522C" w:rsidRPr="00127982">
        <w:rPr>
          <w:rFonts w:ascii="Myriad Pro" w:hAnsi="Myriad Pro"/>
          <w:sz w:val="20"/>
        </w:rPr>
        <w:t xml:space="preserve"> bilo v letu 2020 pod vplivom omejitvenih ukrepov poslovanja ob razglašeni epidemiji poslovanje slabše kot v letu 2019, so družbe </w:t>
      </w:r>
      <w:r w:rsidR="00F7035C">
        <w:rPr>
          <w:rFonts w:ascii="Myriad Pro" w:hAnsi="Myriad Pro"/>
          <w:sz w:val="20"/>
        </w:rPr>
        <w:t>leta 2021</w:t>
      </w:r>
      <w:r w:rsidR="00F3522C">
        <w:rPr>
          <w:rFonts w:ascii="Myriad Pro" w:hAnsi="Myriad Pro"/>
          <w:sz w:val="20"/>
        </w:rPr>
        <w:t xml:space="preserve"> </w:t>
      </w:r>
      <w:r w:rsidR="00F3522C" w:rsidRPr="00127982">
        <w:rPr>
          <w:rFonts w:ascii="Myriad Pro" w:hAnsi="Myriad Pro"/>
          <w:sz w:val="20"/>
        </w:rPr>
        <w:t xml:space="preserve">svoje poslovanje </w:t>
      </w:r>
      <w:r w:rsidR="00F7035C">
        <w:rPr>
          <w:rFonts w:ascii="Myriad Pro" w:hAnsi="Myriad Pro"/>
          <w:sz w:val="20"/>
        </w:rPr>
        <w:t xml:space="preserve">izboljšale, </w:t>
      </w:r>
      <w:r w:rsidR="00F3522C" w:rsidRPr="00127982">
        <w:rPr>
          <w:rFonts w:ascii="Myriad Pro" w:hAnsi="Myriad Pro"/>
          <w:sz w:val="20"/>
        </w:rPr>
        <w:t>v letu 202</w:t>
      </w:r>
      <w:r w:rsidR="00F3522C">
        <w:rPr>
          <w:rFonts w:ascii="Myriad Pro" w:hAnsi="Myriad Pro"/>
          <w:sz w:val="20"/>
        </w:rPr>
        <w:t>2</w:t>
      </w:r>
      <w:r w:rsidR="00F3522C" w:rsidRPr="00127982">
        <w:rPr>
          <w:rFonts w:ascii="Myriad Pro" w:hAnsi="Myriad Pro"/>
          <w:sz w:val="20"/>
        </w:rPr>
        <w:t xml:space="preserve"> </w:t>
      </w:r>
      <w:r w:rsidR="00F7035C">
        <w:rPr>
          <w:rFonts w:ascii="Myriad Pro" w:hAnsi="Myriad Pro"/>
          <w:sz w:val="20"/>
        </w:rPr>
        <w:t xml:space="preserve">pa </w:t>
      </w:r>
      <w:r w:rsidR="00F3522C" w:rsidRPr="00127982">
        <w:rPr>
          <w:rFonts w:ascii="Myriad Pro" w:hAnsi="Myriad Pro"/>
          <w:sz w:val="20"/>
        </w:rPr>
        <w:t>se je</w:t>
      </w:r>
      <w:r w:rsidR="00F7035C">
        <w:rPr>
          <w:rFonts w:ascii="Myriad Pro" w:hAnsi="Myriad Pro"/>
          <w:sz w:val="20"/>
        </w:rPr>
        <w:t xml:space="preserve"> njihova</w:t>
      </w:r>
      <w:r w:rsidR="00F3522C" w:rsidRPr="00127982">
        <w:rPr>
          <w:rFonts w:ascii="Myriad Pro" w:hAnsi="Myriad Pro"/>
          <w:sz w:val="20"/>
        </w:rPr>
        <w:t xml:space="preserve"> dodana vrednost zmanjšala za 5,9 %.</w:t>
      </w:r>
      <w:r w:rsidR="00F7035C">
        <w:rPr>
          <w:rFonts w:ascii="Myriad Pro" w:hAnsi="Myriad Pro"/>
          <w:sz w:val="20"/>
        </w:rPr>
        <w:t xml:space="preserve"> Nadaljnjo rast (6 %) so dosegle družbe, </w:t>
      </w:r>
      <w:r w:rsidRPr="00127982">
        <w:rPr>
          <w:rFonts w:ascii="Myriad Pro" w:hAnsi="Myriad Pro"/>
          <w:sz w:val="20"/>
        </w:rPr>
        <w:t>ki se ukvarjajo s posredništvom in trgovino na debelo, razen z motornimi vozili, ki so edine izmed treh oddelkov tudi v letu 2020 poslovale z rastjo</w:t>
      </w:r>
      <w:r w:rsidRPr="00127982">
        <w:rPr>
          <w:rFonts w:ascii="Myriad Pro" w:hAnsi="Myriad Pro"/>
          <w:bCs/>
          <w:sz w:val="20"/>
        </w:rPr>
        <w:t>.</w:t>
      </w:r>
      <w:r w:rsidRPr="00127982">
        <w:rPr>
          <w:rFonts w:ascii="Myriad Pro" w:hAnsi="Myriad Pro"/>
          <w:sz w:val="20"/>
        </w:rPr>
        <w:t xml:space="preserve"> Ob takšnih gibanjih so družbe v trgovini </w:t>
      </w:r>
      <w:r w:rsidR="00F7035C" w:rsidRPr="00127982">
        <w:rPr>
          <w:rFonts w:ascii="Myriad Pro" w:hAnsi="Myriad Pro"/>
          <w:sz w:val="20"/>
        </w:rPr>
        <w:t xml:space="preserve">z motornimi vozili in njihovimi popravili </w:t>
      </w:r>
      <w:r w:rsidRPr="00127982">
        <w:rPr>
          <w:rFonts w:ascii="Myriad Pro" w:hAnsi="Myriad Pro"/>
          <w:sz w:val="20"/>
        </w:rPr>
        <w:t xml:space="preserve">svoj delež v dodani vrednosti celotne trgovske dejavnosti </w:t>
      </w:r>
      <w:r w:rsidR="00F7035C">
        <w:rPr>
          <w:rFonts w:ascii="Myriad Pro" w:hAnsi="Myriad Pro"/>
          <w:sz w:val="20"/>
        </w:rPr>
        <w:t xml:space="preserve">še </w:t>
      </w:r>
      <w:r w:rsidRPr="00127982">
        <w:rPr>
          <w:rFonts w:ascii="Myriad Pro" w:hAnsi="Myriad Pro"/>
          <w:sz w:val="20"/>
        </w:rPr>
        <w:t>povečale</w:t>
      </w:r>
      <w:r w:rsidR="001D526F">
        <w:rPr>
          <w:rFonts w:ascii="Myriad Pro" w:hAnsi="Myriad Pro"/>
          <w:sz w:val="20"/>
        </w:rPr>
        <w:t xml:space="preserve"> (na 13,2 %, leta 2019 je bil 11 %)</w:t>
      </w:r>
      <w:r w:rsidRPr="00127982">
        <w:rPr>
          <w:rFonts w:ascii="Myriad Pro" w:hAnsi="Myriad Pro"/>
          <w:sz w:val="20"/>
        </w:rPr>
        <w:t>, družbe v trgovini na drobno pa zmanjšale</w:t>
      </w:r>
      <w:r w:rsidR="001D526F">
        <w:rPr>
          <w:rFonts w:ascii="Myriad Pro" w:hAnsi="Myriad Pro"/>
          <w:sz w:val="20"/>
        </w:rPr>
        <w:t xml:space="preserve"> (na 41,7 %, leta 2019 pa je bil 43,6 %)</w:t>
      </w:r>
      <w:r w:rsidRPr="00127982">
        <w:rPr>
          <w:rFonts w:ascii="Myriad Pro" w:hAnsi="Myriad Pro"/>
          <w:sz w:val="20"/>
        </w:rPr>
        <w:t xml:space="preserve">. </w:t>
      </w:r>
      <w:r w:rsidR="001D526F">
        <w:rPr>
          <w:rFonts w:ascii="Myriad Pro" w:hAnsi="Myriad Pro"/>
          <w:sz w:val="20"/>
        </w:rPr>
        <w:t xml:space="preserve">Družbe vseh treh oddelkov so leta 2023 izboljšale produktivnost dela; najbolj družbe </w:t>
      </w:r>
      <w:r w:rsidRPr="00127982">
        <w:rPr>
          <w:rFonts w:ascii="Myriad Pro" w:hAnsi="Myriad Pro"/>
          <w:sz w:val="20"/>
        </w:rPr>
        <w:t>trgovine na drobno, razen z motornimi vozili</w:t>
      </w:r>
      <w:r w:rsidR="001D526F">
        <w:rPr>
          <w:rFonts w:ascii="Myriad Pro" w:hAnsi="Myriad Pro"/>
          <w:sz w:val="20"/>
        </w:rPr>
        <w:t xml:space="preserve"> (za 14,3 %), kjer se je število zaposlenih nekoliko zmanjšalo.</w:t>
      </w:r>
      <w:r w:rsidR="00F7035C" w:rsidRPr="00F7035C">
        <w:rPr>
          <w:rFonts w:ascii="Myriad Pro" w:hAnsi="Myriad Pro"/>
          <w:sz w:val="20"/>
        </w:rPr>
        <w:t xml:space="preserve"> </w:t>
      </w:r>
    </w:p>
    <w:p w14:paraId="5DE1FB2A" w14:textId="77777777" w:rsidR="007A7055" w:rsidRPr="00127982" w:rsidRDefault="007A7055" w:rsidP="00127982">
      <w:pPr>
        <w:spacing w:after="0" w:line="288" w:lineRule="auto"/>
        <w:jc w:val="both"/>
        <w:rPr>
          <w:rFonts w:ascii="Myriad Pro" w:hAnsi="Myriad Pro"/>
          <w:sz w:val="20"/>
        </w:rPr>
      </w:pPr>
    </w:p>
    <w:p w14:paraId="290444D5" w14:textId="4C8C0117" w:rsidR="00127982" w:rsidRPr="00127982" w:rsidRDefault="00127982" w:rsidP="00127982">
      <w:pPr>
        <w:keepNext/>
        <w:keepLines/>
        <w:tabs>
          <w:tab w:val="right" w:leader="dot" w:pos="9070"/>
        </w:tabs>
        <w:spacing w:before="240" w:after="60" w:line="288" w:lineRule="auto"/>
        <w:contextualSpacing/>
        <w:jc w:val="both"/>
        <w:rPr>
          <w:rFonts w:ascii="Myriad Pro" w:hAnsi="Myriad Pro"/>
          <w:b/>
          <w:bCs/>
          <w:noProof/>
          <w:sz w:val="20"/>
          <w:szCs w:val="20"/>
        </w:rPr>
      </w:pPr>
      <w:r w:rsidRPr="00127982">
        <w:rPr>
          <w:rFonts w:ascii="Myriad Pro" w:hAnsi="Myriad Pro"/>
          <w:b/>
          <w:bCs/>
          <w:noProof/>
          <w:sz w:val="20"/>
          <w:szCs w:val="20"/>
        </w:rPr>
        <w:t xml:space="preserve">Slika </w:t>
      </w:r>
      <w:r w:rsidRPr="00127982">
        <w:rPr>
          <w:rFonts w:ascii="Myriad Pro" w:hAnsi="Myriad Pro"/>
          <w:b/>
          <w:bCs/>
          <w:noProof/>
          <w:sz w:val="20"/>
          <w:szCs w:val="20"/>
        </w:rPr>
        <w:fldChar w:fldCharType="begin"/>
      </w:r>
      <w:r w:rsidRPr="00127982">
        <w:rPr>
          <w:rFonts w:ascii="Myriad Pro" w:hAnsi="Myriad Pro"/>
          <w:b/>
          <w:bCs/>
          <w:noProof/>
          <w:sz w:val="20"/>
          <w:szCs w:val="20"/>
        </w:rPr>
        <w:instrText xml:space="preserve"> SEQ Slika \* ARABIC </w:instrText>
      </w:r>
      <w:r w:rsidRPr="00127982">
        <w:rPr>
          <w:rFonts w:ascii="Myriad Pro" w:hAnsi="Myriad Pro"/>
          <w:b/>
          <w:bCs/>
          <w:noProof/>
          <w:sz w:val="20"/>
          <w:szCs w:val="20"/>
        </w:rPr>
        <w:fldChar w:fldCharType="separate"/>
      </w:r>
      <w:r w:rsidRPr="00127982">
        <w:rPr>
          <w:rFonts w:ascii="Myriad Pro" w:hAnsi="Myriad Pro"/>
          <w:b/>
          <w:bCs/>
          <w:noProof/>
          <w:sz w:val="20"/>
          <w:szCs w:val="20"/>
        </w:rPr>
        <w:t>3</w:t>
      </w:r>
      <w:r w:rsidRPr="00127982">
        <w:rPr>
          <w:rFonts w:ascii="Myriad Pro" w:hAnsi="Myriad Pro"/>
          <w:b/>
          <w:bCs/>
          <w:noProof/>
          <w:sz w:val="20"/>
          <w:szCs w:val="20"/>
        </w:rPr>
        <w:fldChar w:fldCharType="end"/>
      </w:r>
      <w:r w:rsidRPr="00127982">
        <w:rPr>
          <w:rFonts w:ascii="Myriad Pro" w:hAnsi="Myriad Pro"/>
          <w:b/>
          <w:bCs/>
          <w:noProof/>
          <w:sz w:val="20"/>
          <w:szCs w:val="20"/>
        </w:rPr>
        <w:t xml:space="preserve">: </w:t>
      </w:r>
      <w:r w:rsidRPr="00841816">
        <w:rPr>
          <w:rFonts w:ascii="Myriad Pro" w:hAnsi="Myriad Pro"/>
          <w:b/>
          <w:bCs/>
          <w:noProof/>
          <w:sz w:val="20"/>
          <w:szCs w:val="20"/>
        </w:rPr>
        <w:t>Leta 202</w:t>
      </w:r>
      <w:r w:rsidR="00841816" w:rsidRPr="00841816">
        <w:rPr>
          <w:rFonts w:ascii="Myriad Pro" w:hAnsi="Myriad Pro"/>
          <w:b/>
          <w:bCs/>
          <w:noProof/>
          <w:sz w:val="20"/>
          <w:szCs w:val="20"/>
        </w:rPr>
        <w:t>3</w:t>
      </w:r>
      <w:r w:rsidRPr="00127982">
        <w:rPr>
          <w:rFonts w:ascii="Myriad Pro" w:hAnsi="Myriad Pro"/>
          <w:b/>
          <w:bCs/>
          <w:noProof/>
          <w:sz w:val="20"/>
          <w:szCs w:val="20"/>
        </w:rPr>
        <w:t xml:space="preserve"> so svoje poslovanje </w:t>
      </w:r>
      <w:r w:rsidR="00841816">
        <w:rPr>
          <w:rFonts w:ascii="Myriad Pro" w:hAnsi="Myriad Pro"/>
          <w:b/>
          <w:bCs/>
          <w:noProof/>
          <w:sz w:val="20"/>
          <w:szCs w:val="20"/>
        </w:rPr>
        <w:t>nekoliko</w:t>
      </w:r>
      <w:r w:rsidRPr="00127982">
        <w:rPr>
          <w:rFonts w:ascii="Myriad Pro" w:hAnsi="Myriad Pro"/>
          <w:b/>
          <w:bCs/>
          <w:noProof/>
          <w:sz w:val="20"/>
          <w:szCs w:val="20"/>
        </w:rPr>
        <w:t xml:space="preserve"> poslabšale le družbe trgovine na d</w:t>
      </w:r>
      <w:r w:rsidR="00841816">
        <w:rPr>
          <w:rFonts w:ascii="Myriad Pro" w:hAnsi="Myriad Pro"/>
          <w:b/>
          <w:bCs/>
          <w:noProof/>
          <w:sz w:val="20"/>
          <w:szCs w:val="20"/>
        </w:rPr>
        <w:t>ebelo</w:t>
      </w:r>
      <w:r w:rsidRPr="00127982">
        <w:rPr>
          <w:rFonts w:ascii="Myriad Pro" w:hAnsi="Myriad Pro"/>
          <w:b/>
          <w:bCs/>
          <w:noProof/>
          <w:sz w:val="20"/>
          <w:szCs w:val="20"/>
        </w:rPr>
        <w:t xml:space="preserve"> </w:t>
      </w:r>
    </w:p>
    <w:p w14:paraId="23D16A9C" w14:textId="56F49759" w:rsidR="00127982" w:rsidRPr="00127982" w:rsidRDefault="002407A0" w:rsidP="00127982">
      <w:pPr>
        <w:spacing w:after="0" w:line="288" w:lineRule="auto"/>
        <w:jc w:val="both"/>
        <w:rPr>
          <w:rFonts w:ascii="Myriad Pro" w:hAnsi="Myriad Pro"/>
          <w:sz w:val="20"/>
        </w:rPr>
      </w:pPr>
      <w:r w:rsidRPr="002407A0">
        <w:rPr>
          <w:noProof/>
        </w:rPr>
        <w:drawing>
          <wp:inline distT="0" distB="0" distL="0" distR="0" wp14:anchorId="516053F5" wp14:editId="57EF83ED">
            <wp:extent cx="5759450" cy="209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2095500"/>
                    </a:xfrm>
                    <a:prstGeom prst="rect">
                      <a:avLst/>
                    </a:prstGeom>
                    <a:noFill/>
                    <a:ln>
                      <a:noFill/>
                    </a:ln>
                  </pic:spPr>
                </pic:pic>
              </a:graphicData>
            </a:graphic>
          </wp:inline>
        </w:drawing>
      </w:r>
    </w:p>
    <w:p w14:paraId="33F3A43C" w14:textId="32BB9E5B" w:rsidR="00127982" w:rsidRPr="00127982" w:rsidRDefault="00127982" w:rsidP="00127982">
      <w:pPr>
        <w:spacing w:before="40" w:after="0" w:line="240" w:lineRule="auto"/>
        <w:jc w:val="both"/>
        <w:rPr>
          <w:rFonts w:ascii="Myriad Pro" w:hAnsi="Myriad Pro"/>
          <w:sz w:val="16"/>
        </w:rPr>
      </w:pPr>
      <w:r w:rsidRPr="00127982">
        <w:rPr>
          <w:rFonts w:ascii="Myriad Pro" w:hAnsi="Myriad Pro"/>
          <w:sz w:val="16"/>
        </w:rPr>
        <w:t xml:space="preserve">Vir podatkov: </w:t>
      </w:r>
      <w:bookmarkStart w:id="19" w:name="_Hlk138249086"/>
      <w:r w:rsidRPr="00127982">
        <w:rPr>
          <w:rFonts w:ascii="Myriad Pro" w:hAnsi="Myriad Pro"/>
          <w:sz w:val="16"/>
        </w:rPr>
        <w:fldChar w:fldCharType="begin"/>
      </w:r>
      <w:r w:rsidR="00317ED8">
        <w:rPr>
          <w:rFonts w:ascii="Myriad Pro" w:hAnsi="Myriad Pro"/>
          <w:sz w:val="16"/>
        </w:rPr>
        <w:instrText xml:space="preserve"> ADDIN ZOTERO_ITEM CSL_CITATION {"citationID":"gDl1c5Ih","properties":{"formattedCitation":"(AJPES, 2024)","plainCitation":"(AJPES, 2024)","noteIndex":0},"citationItems":[{"id":3,"uris":["http://zotero.org/users/8372339/items/IC2SCV5C",["http://zotero.org/users/8372339/items/IC2SCV5C"]],"itemData":{"id":3,"type":"report","event-place":"Ljubljana","publisher":"Agencija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rsidRPr="00127982">
        <w:rPr>
          <w:rFonts w:ascii="Myriad Pro" w:hAnsi="Myriad Pro"/>
          <w:sz w:val="16"/>
        </w:rPr>
        <w:fldChar w:fldCharType="separate"/>
      </w:r>
      <w:r w:rsidR="00317ED8" w:rsidRPr="00317ED8">
        <w:rPr>
          <w:rFonts w:ascii="Myriad Pro" w:hAnsi="Myriad Pro"/>
          <w:sz w:val="16"/>
        </w:rPr>
        <w:t xml:space="preserve">AJPES </w:t>
      </w:r>
      <w:r w:rsidR="00317ED8">
        <w:rPr>
          <w:rFonts w:ascii="Myriad Pro" w:hAnsi="Myriad Pro"/>
          <w:sz w:val="16"/>
        </w:rPr>
        <w:t>(</w:t>
      </w:r>
      <w:r w:rsidR="00317ED8" w:rsidRPr="00317ED8">
        <w:rPr>
          <w:rFonts w:ascii="Myriad Pro" w:hAnsi="Myriad Pro"/>
          <w:sz w:val="16"/>
        </w:rPr>
        <w:t>2024)</w:t>
      </w:r>
      <w:r w:rsidRPr="00127982">
        <w:rPr>
          <w:rFonts w:ascii="Myriad Pro" w:hAnsi="Myriad Pro"/>
          <w:sz w:val="16"/>
        </w:rPr>
        <w:fldChar w:fldCharType="end"/>
      </w:r>
      <w:bookmarkEnd w:id="19"/>
      <w:r w:rsidRPr="00127982">
        <w:rPr>
          <w:rFonts w:ascii="Myriad Pro" w:hAnsi="Myriad Pro"/>
          <w:sz w:val="16"/>
        </w:rPr>
        <w:t>, lastni izračuni.</w:t>
      </w:r>
    </w:p>
    <w:p w14:paraId="24F0692A" w14:textId="77777777" w:rsidR="00127982" w:rsidRPr="00127982" w:rsidRDefault="00127982" w:rsidP="00127982">
      <w:pPr>
        <w:spacing w:after="0" w:line="288" w:lineRule="auto"/>
        <w:jc w:val="both"/>
        <w:rPr>
          <w:rFonts w:ascii="Myriad Pro" w:hAnsi="Myriad Pro"/>
          <w:sz w:val="16"/>
        </w:rPr>
      </w:pPr>
    </w:p>
    <w:p w14:paraId="35FF4228" w14:textId="77777777" w:rsidR="00127982" w:rsidRPr="00127982" w:rsidRDefault="00127982" w:rsidP="00127982">
      <w:pPr>
        <w:spacing w:after="0" w:line="288" w:lineRule="auto"/>
        <w:jc w:val="both"/>
        <w:rPr>
          <w:rFonts w:ascii="Myriad Pro" w:hAnsi="Myriad Pro"/>
          <w:sz w:val="16"/>
        </w:rPr>
      </w:pPr>
    </w:p>
    <w:p w14:paraId="1C99C077" w14:textId="77777777" w:rsidR="00127982" w:rsidRPr="00127982" w:rsidRDefault="00127982" w:rsidP="00127982">
      <w:pPr>
        <w:spacing w:after="0" w:line="288" w:lineRule="auto"/>
        <w:jc w:val="both"/>
        <w:rPr>
          <w:rFonts w:ascii="Myriad Pro" w:hAnsi="Myriad Pro"/>
          <w:sz w:val="16"/>
        </w:rPr>
      </w:pPr>
    </w:p>
    <w:p w14:paraId="51795717" w14:textId="77777777" w:rsidR="00127982" w:rsidRPr="00127982" w:rsidRDefault="00127982" w:rsidP="00127982">
      <w:pPr>
        <w:spacing w:after="0" w:line="288" w:lineRule="auto"/>
        <w:jc w:val="both"/>
        <w:rPr>
          <w:rFonts w:ascii="Myriad Pro" w:hAnsi="Myriad Pro"/>
          <w:sz w:val="16"/>
        </w:rPr>
      </w:pPr>
    </w:p>
    <w:p w14:paraId="03B326A4" w14:textId="34AD1CC9" w:rsidR="00127982" w:rsidRPr="00127982" w:rsidRDefault="00127982" w:rsidP="00127982">
      <w:pPr>
        <w:keepNext/>
        <w:keepLines/>
        <w:tabs>
          <w:tab w:val="right" w:leader="dot" w:pos="9070"/>
        </w:tabs>
        <w:spacing w:before="240" w:after="60" w:line="288" w:lineRule="auto"/>
        <w:contextualSpacing/>
        <w:jc w:val="both"/>
        <w:rPr>
          <w:rFonts w:ascii="Myriad Pro" w:hAnsi="Myriad Pro"/>
          <w:b/>
          <w:bCs/>
          <w:noProof/>
          <w:sz w:val="20"/>
          <w:szCs w:val="20"/>
        </w:rPr>
      </w:pPr>
      <w:r w:rsidRPr="00127982">
        <w:rPr>
          <w:rFonts w:ascii="Myriad Pro" w:hAnsi="Myriad Pro"/>
          <w:b/>
          <w:bCs/>
          <w:noProof/>
          <w:sz w:val="20"/>
          <w:szCs w:val="20"/>
        </w:rPr>
        <w:lastRenderedPageBreak/>
        <w:t xml:space="preserve">Slika </w:t>
      </w:r>
      <w:r w:rsidRPr="00127982">
        <w:rPr>
          <w:rFonts w:ascii="Myriad Pro" w:hAnsi="Myriad Pro"/>
          <w:b/>
          <w:bCs/>
          <w:noProof/>
          <w:sz w:val="20"/>
          <w:szCs w:val="20"/>
        </w:rPr>
        <w:fldChar w:fldCharType="begin"/>
      </w:r>
      <w:r w:rsidRPr="00127982">
        <w:rPr>
          <w:rFonts w:ascii="Myriad Pro" w:hAnsi="Myriad Pro"/>
          <w:b/>
          <w:bCs/>
          <w:noProof/>
          <w:sz w:val="20"/>
          <w:szCs w:val="20"/>
        </w:rPr>
        <w:instrText xml:space="preserve"> SEQ Slika \* ARABIC </w:instrText>
      </w:r>
      <w:r w:rsidRPr="00127982">
        <w:rPr>
          <w:rFonts w:ascii="Myriad Pro" w:hAnsi="Myriad Pro"/>
          <w:b/>
          <w:bCs/>
          <w:noProof/>
          <w:sz w:val="20"/>
          <w:szCs w:val="20"/>
        </w:rPr>
        <w:fldChar w:fldCharType="separate"/>
      </w:r>
      <w:r w:rsidR="008F42D6">
        <w:rPr>
          <w:rFonts w:ascii="Myriad Pro" w:hAnsi="Myriad Pro"/>
          <w:b/>
          <w:bCs/>
          <w:noProof/>
          <w:sz w:val="20"/>
          <w:szCs w:val="20"/>
        </w:rPr>
        <w:t>4</w:t>
      </w:r>
      <w:r w:rsidRPr="00127982">
        <w:rPr>
          <w:rFonts w:ascii="Myriad Pro" w:hAnsi="Myriad Pro"/>
          <w:b/>
          <w:bCs/>
          <w:noProof/>
          <w:sz w:val="20"/>
          <w:szCs w:val="20"/>
        </w:rPr>
        <w:fldChar w:fldCharType="end"/>
      </w:r>
      <w:r w:rsidRPr="00127982">
        <w:rPr>
          <w:rFonts w:ascii="Myriad Pro" w:hAnsi="Myriad Pro"/>
          <w:b/>
          <w:bCs/>
          <w:noProof/>
          <w:sz w:val="20"/>
          <w:szCs w:val="20"/>
        </w:rPr>
        <w:t xml:space="preserve">: </w:t>
      </w:r>
      <w:r w:rsidRPr="007832B3">
        <w:rPr>
          <w:rFonts w:ascii="Myriad Pro" w:hAnsi="Myriad Pro"/>
          <w:b/>
          <w:bCs/>
          <w:noProof/>
          <w:sz w:val="20"/>
          <w:szCs w:val="20"/>
        </w:rPr>
        <w:t>Leta 202</w:t>
      </w:r>
      <w:r w:rsidR="007832B3" w:rsidRPr="007832B3">
        <w:rPr>
          <w:rFonts w:ascii="Myriad Pro" w:hAnsi="Myriad Pro"/>
          <w:b/>
          <w:bCs/>
          <w:noProof/>
          <w:sz w:val="20"/>
          <w:szCs w:val="20"/>
        </w:rPr>
        <w:t>3</w:t>
      </w:r>
      <w:r w:rsidRPr="007832B3">
        <w:rPr>
          <w:rFonts w:ascii="Myriad Pro" w:hAnsi="Myriad Pro"/>
          <w:b/>
          <w:bCs/>
          <w:noProof/>
          <w:sz w:val="20"/>
          <w:szCs w:val="20"/>
        </w:rPr>
        <w:t xml:space="preserve"> so se </w:t>
      </w:r>
      <w:r w:rsidR="007832B3" w:rsidRPr="007832B3">
        <w:rPr>
          <w:rFonts w:ascii="Myriad Pro" w:hAnsi="Myriad Pro"/>
          <w:b/>
          <w:bCs/>
          <w:noProof/>
          <w:sz w:val="20"/>
          <w:szCs w:val="20"/>
        </w:rPr>
        <w:t xml:space="preserve">ob rasti finančnih odhodkov </w:t>
      </w:r>
      <w:r w:rsidRPr="007832B3">
        <w:rPr>
          <w:rFonts w:ascii="Myriad Pro" w:hAnsi="Myriad Pro"/>
          <w:b/>
          <w:bCs/>
          <w:noProof/>
          <w:sz w:val="20"/>
          <w:szCs w:val="20"/>
        </w:rPr>
        <w:t>finančni</w:t>
      </w:r>
      <w:r w:rsidRPr="00127982">
        <w:rPr>
          <w:rFonts w:ascii="Myriad Pro" w:hAnsi="Myriad Pro"/>
          <w:b/>
          <w:bCs/>
          <w:noProof/>
          <w:sz w:val="20"/>
          <w:szCs w:val="20"/>
        </w:rPr>
        <w:t xml:space="preserve"> prihodki trgovskih družb </w:t>
      </w:r>
      <w:r w:rsidR="007832B3">
        <w:rPr>
          <w:rFonts w:ascii="Myriad Pro" w:hAnsi="Myriad Pro"/>
          <w:b/>
          <w:bCs/>
          <w:noProof/>
          <w:sz w:val="20"/>
          <w:szCs w:val="20"/>
        </w:rPr>
        <w:t>zmanjšali</w:t>
      </w:r>
      <w:r w:rsidRPr="00127982">
        <w:rPr>
          <w:rFonts w:ascii="Myriad Pro" w:hAnsi="Myriad Pro"/>
          <w:b/>
          <w:bCs/>
          <w:noProof/>
          <w:sz w:val="20"/>
          <w:szCs w:val="20"/>
        </w:rPr>
        <w:t xml:space="preserve">, tako da se je izguba iz financiranja </w:t>
      </w:r>
      <w:r w:rsidR="007832B3">
        <w:rPr>
          <w:rFonts w:ascii="Myriad Pro" w:hAnsi="Myriad Pro"/>
          <w:b/>
          <w:bCs/>
          <w:noProof/>
          <w:sz w:val="20"/>
          <w:szCs w:val="20"/>
        </w:rPr>
        <w:t>več kot potrojila</w:t>
      </w:r>
    </w:p>
    <w:p w14:paraId="0ADE1F2C" w14:textId="5F12D6E6" w:rsidR="00127982" w:rsidRPr="00127982" w:rsidRDefault="002407A0" w:rsidP="00127982">
      <w:pPr>
        <w:spacing w:after="0" w:line="288" w:lineRule="auto"/>
        <w:jc w:val="both"/>
        <w:rPr>
          <w:rFonts w:ascii="Myriad Pro" w:hAnsi="Myriad Pro"/>
          <w:sz w:val="20"/>
          <w:szCs w:val="20"/>
        </w:rPr>
      </w:pPr>
      <w:r w:rsidRPr="002407A0">
        <w:rPr>
          <w:noProof/>
        </w:rPr>
        <w:drawing>
          <wp:inline distT="0" distB="0" distL="0" distR="0" wp14:anchorId="04B8F8A2" wp14:editId="15677ABE">
            <wp:extent cx="5759450" cy="20775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648" cy="2077949"/>
                    </a:xfrm>
                    <a:prstGeom prst="rect">
                      <a:avLst/>
                    </a:prstGeom>
                    <a:noFill/>
                    <a:ln>
                      <a:noFill/>
                    </a:ln>
                  </pic:spPr>
                </pic:pic>
              </a:graphicData>
            </a:graphic>
          </wp:inline>
        </w:drawing>
      </w:r>
    </w:p>
    <w:p w14:paraId="065E9A4D" w14:textId="49C44502" w:rsidR="00127982" w:rsidRDefault="00127982" w:rsidP="00127982">
      <w:pPr>
        <w:spacing w:before="40" w:after="0" w:line="240" w:lineRule="auto"/>
        <w:jc w:val="both"/>
        <w:rPr>
          <w:rFonts w:ascii="Myriad Pro" w:hAnsi="Myriad Pro"/>
          <w:sz w:val="16"/>
        </w:rPr>
      </w:pPr>
      <w:r w:rsidRPr="00127982">
        <w:rPr>
          <w:rFonts w:ascii="Myriad Pro" w:hAnsi="Myriad Pro"/>
          <w:sz w:val="16"/>
        </w:rPr>
        <w:t xml:space="preserve">Vir podatkov: </w:t>
      </w:r>
      <w:r w:rsidRPr="00127982">
        <w:rPr>
          <w:rFonts w:ascii="Myriad Pro" w:hAnsi="Myriad Pro"/>
          <w:sz w:val="16"/>
        </w:rPr>
        <w:fldChar w:fldCharType="begin"/>
      </w:r>
      <w:r w:rsidR="00317ED8">
        <w:rPr>
          <w:rFonts w:ascii="Myriad Pro" w:hAnsi="Myriad Pro"/>
          <w:sz w:val="16"/>
        </w:rPr>
        <w:instrText xml:space="preserve"> ADDIN ZOTERO_ITEM CSL_CITATION {"citationID":"4Y6BUHrn","properties":{"formattedCitation":"(AJPES, 2024)","plainCitation":"(AJPES, 2024)","noteIndex":0},"citationItems":[{"id":3,"uris":["http://zotero.org/users/8372339/items/IC2SCV5C",["http://zotero.org/users/8372339/items/IC2SCV5C"]],"itemData":{"id":3,"type":"report","event-place":"Ljubljana","publisher":"Agencija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rsidRPr="00127982">
        <w:rPr>
          <w:rFonts w:ascii="Myriad Pro" w:hAnsi="Myriad Pro"/>
          <w:sz w:val="16"/>
        </w:rPr>
        <w:fldChar w:fldCharType="separate"/>
      </w:r>
      <w:r w:rsidR="00317ED8" w:rsidRPr="00317ED8">
        <w:rPr>
          <w:rFonts w:ascii="Myriad Pro" w:hAnsi="Myriad Pro"/>
          <w:sz w:val="16"/>
        </w:rPr>
        <w:t xml:space="preserve">AJPES </w:t>
      </w:r>
      <w:r w:rsidR="00317ED8">
        <w:rPr>
          <w:rFonts w:ascii="Myriad Pro" w:hAnsi="Myriad Pro"/>
          <w:sz w:val="16"/>
        </w:rPr>
        <w:t>(</w:t>
      </w:r>
      <w:r w:rsidR="00317ED8" w:rsidRPr="00317ED8">
        <w:rPr>
          <w:rFonts w:ascii="Myriad Pro" w:hAnsi="Myriad Pro"/>
          <w:sz w:val="16"/>
        </w:rPr>
        <w:t>2024)</w:t>
      </w:r>
      <w:r w:rsidRPr="00127982">
        <w:rPr>
          <w:rFonts w:ascii="Myriad Pro" w:hAnsi="Myriad Pro"/>
          <w:sz w:val="16"/>
        </w:rPr>
        <w:fldChar w:fldCharType="end"/>
      </w:r>
      <w:r w:rsidRPr="00127982">
        <w:rPr>
          <w:rFonts w:ascii="Myriad Pro" w:hAnsi="Myriad Pro"/>
          <w:sz w:val="16"/>
        </w:rPr>
        <w:t>, lastni izračuni.</w:t>
      </w:r>
    </w:p>
    <w:p w14:paraId="640C48DD" w14:textId="77777777" w:rsidR="007A7055" w:rsidRPr="00127982" w:rsidRDefault="007A7055" w:rsidP="00127982">
      <w:pPr>
        <w:spacing w:before="40" w:after="0" w:line="240" w:lineRule="auto"/>
        <w:jc w:val="both"/>
        <w:rPr>
          <w:rFonts w:ascii="Myriad Pro" w:hAnsi="Myriad Pro"/>
          <w:sz w:val="16"/>
        </w:rPr>
      </w:pPr>
    </w:p>
    <w:p w14:paraId="5F61B113" w14:textId="5A7F8DB1" w:rsidR="00440058" w:rsidRDefault="00440058" w:rsidP="00440058">
      <w:pPr>
        <w:spacing w:after="0" w:line="288" w:lineRule="auto"/>
        <w:jc w:val="both"/>
        <w:rPr>
          <w:rFonts w:ascii="Myriad Pro" w:hAnsi="Myriad Pro"/>
          <w:bCs/>
          <w:sz w:val="20"/>
        </w:rPr>
      </w:pPr>
      <w:r w:rsidRPr="00794301">
        <w:rPr>
          <w:rFonts w:ascii="Myriad Pro" w:hAnsi="Myriad Pro"/>
          <w:b/>
          <w:sz w:val="20"/>
        </w:rPr>
        <w:t>Gospodarnost poslovanja</w:t>
      </w:r>
      <w:r w:rsidRPr="00127982">
        <w:rPr>
          <w:rFonts w:ascii="Myriad Pro" w:hAnsi="Myriad Pro"/>
          <w:b/>
          <w:sz w:val="20"/>
        </w:rPr>
        <w:t xml:space="preserve"> in pribitek nad stroški trgovskih družb, ki sta se v letu 202</w:t>
      </w:r>
      <w:r>
        <w:rPr>
          <w:rFonts w:ascii="Myriad Pro" w:hAnsi="Myriad Pro"/>
          <w:b/>
          <w:sz w:val="20"/>
        </w:rPr>
        <w:t>2</w:t>
      </w:r>
      <w:r w:rsidRPr="00127982">
        <w:rPr>
          <w:rFonts w:ascii="Myriad Pro" w:hAnsi="Myriad Pro"/>
          <w:b/>
          <w:sz w:val="20"/>
        </w:rPr>
        <w:t xml:space="preserve"> močno </w:t>
      </w:r>
      <w:r>
        <w:rPr>
          <w:rFonts w:ascii="Myriad Pro" w:hAnsi="Myriad Pro"/>
          <w:b/>
          <w:sz w:val="20"/>
        </w:rPr>
        <w:t>poslabšala</w:t>
      </w:r>
      <w:r w:rsidRPr="00127982">
        <w:rPr>
          <w:rFonts w:ascii="Myriad Pro" w:hAnsi="Myriad Pro"/>
          <w:b/>
          <w:sz w:val="20"/>
        </w:rPr>
        <w:t>, sta se v letu 202</w:t>
      </w:r>
      <w:r>
        <w:rPr>
          <w:rFonts w:ascii="Myriad Pro" w:hAnsi="Myriad Pro"/>
          <w:b/>
          <w:sz w:val="20"/>
        </w:rPr>
        <w:t>3</w:t>
      </w:r>
      <w:r w:rsidRPr="00127982">
        <w:rPr>
          <w:rFonts w:ascii="Myriad Pro" w:hAnsi="Myriad Pro"/>
          <w:b/>
          <w:sz w:val="20"/>
        </w:rPr>
        <w:t xml:space="preserve"> </w:t>
      </w:r>
      <w:r>
        <w:rPr>
          <w:rFonts w:ascii="Myriad Pro" w:hAnsi="Myriad Pro"/>
          <w:b/>
          <w:sz w:val="20"/>
        </w:rPr>
        <w:t>izboljšala</w:t>
      </w:r>
      <w:r w:rsidRPr="00127982">
        <w:rPr>
          <w:rFonts w:ascii="Myriad Pro" w:hAnsi="Myriad Pro"/>
          <w:b/>
          <w:sz w:val="20"/>
        </w:rPr>
        <w:t xml:space="preserve">. </w:t>
      </w:r>
      <w:r w:rsidRPr="00127982">
        <w:rPr>
          <w:rFonts w:ascii="Myriad Pro" w:hAnsi="Myriad Pro"/>
          <w:sz w:val="20"/>
        </w:rPr>
        <w:t>L</w:t>
      </w:r>
      <w:r w:rsidRPr="00127982">
        <w:rPr>
          <w:rFonts w:ascii="Myriad Pro" w:hAnsi="Myriad Pro"/>
          <w:bCs/>
          <w:sz w:val="20"/>
        </w:rPr>
        <w:t xml:space="preserve">eta 2021 so se poslovni prihodki pod vplivom odboja pri trošenju gospodinjstev po epidemiji in </w:t>
      </w:r>
      <w:r w:rsidRPr="00127982">
        <w:rPr>
          <w:rFonts w:ascii="Myriad Pro" w:hAnsi="Myriad Pro"/>
          <w:sz w:val="20"/>
        </w:rPr>
        <w:t>rasti aktivnosti v dejavnostih, s katerimi je povezana trgovina na debelo, povečali bolj od poslovnih odhodkov, tako da sta se gospodarnost poslovanja in pribitek</w:t>
      </w:r>
      <w:r w:rsidRPr="00127982">
        <w:rPr>
          <w:rFonts w:ascii="Myriad Pro" w:hAnsi="Myriad Pro"/>
          <w:bCs/>
          <w:sz w:val="20"/>
          <w:vertAlign w:val="superscript"/>
        </w:rPr>
        <w:footnoteReference w:id="5"/>
      </w:r>
      <w:r w:rsidRPr="00127982">
        <w:rPr>
          <w:rFonts w:ascii="Myriad Pro" w:hAnsi="Myriad Pro"/>
          <w:sz w:val="20"/>
        </w:rPr>
        <w:t xml:space="preserve"> </w:t>
      </w:r>
      <w:r w:rsidRPr="00127982">
        <w:rPr>
          <w:rFonts w:ascii="Myriad Pro" w:hAnsi="Myriad Pro"/>
          <w:bCs/>
          <w:sz w:val="20"/>
        </w:rPr>
        <w:t xml:space="preserve">povprečne trgovske družbe močno povečala in bila najvišja po letu 2008. Rast poslovnih prihodkov je bila tudi v letu 2022 zelo visoka, a je bila generirana tudi pod vplivom </w:t>
      </w:r>
      <w:r w:rsidR="00F92B45">
        <w:rPr>
          <w:rFonts w:ascii="Myriad Pro" w:hAnsi="Myriad Pro"/>
          <w:bCs/>
          <w:sz w:val="20"/>
        </w:rPr>
        <w:t>visoke inflacije</w:t>
      </w:r>
      <w:r w:rsidRPr="00127982">
        <w:rPr>
          <w:rFonts w:ascii="Myriad Pro" w:hAnsi="Myriad Pro"/>
          <w:bCs/>
          <w:sz w:val="20"/>
        </w:rPr>
        <w:t>, ki</w:t>
      </w:r>
      <w:r w:rsidR="00F92B45">
        <w:rPr>
          <w:rFonts w:ascii="Myriad Pro" w:hAnsi="Myriad Pro"/>
          <w:bCs/>
          <w:sz w:val="20"/>
        </w:rPr>
        <w:t xml:space="preserve"> je močno zvišala tudi</w:t>
      </w:r>
      <w:r w:rsidRPr="00127982">
        <w:rPr>
          <w:rFonts w:ascii="Myriad Pro" w:hAnsi="Myriad Pro"/>
          <w:bCs/>
          <w:sz w:val="20"/>
        </w:rPr>
        <w:t xml:space="preserve"> poslovn</w:t>
      </w:r>
      <w:r w:rsidR="00F92B45">
        <w:rPr>
          <w:rFonts w:ascii="Myriad Pro" w:hAnsi="Myriad Pro"/>
          <w:bCs/>
          <w:sz w:val="20"/>
        </w:rPr>
        <w:t>e</w:t>
      </w:r>
      <w:r w:rsidRPr="00127982">
        <w:rPr>
          <w:rFonts w:ascii="Myriad Pro" w:hAnsi="Myriad Pro"/>
          <w:bCs/>
          <w:sz w:val="20"/>
        </w:rPr>
        <w:t xml:space="preserve"> odhodk</w:t>
      </w:r>
      <w:r w:rsidR="00F92B45">
        <w:rPr>
          <w:rFonts w:ascii="Myriad Pro" w:hAnsi="Myriad Pro"/>
          <w:bCs/>
          <w:sz w:val="20"/>
        </w:rPr>
        <w:t>e</w:t>
      </w:r>
      <w:r w:rsidRPr="00127982">
        <w:rPr>
          <w:rFonts w:ascii="Myriad Pro" w:hAnsi="Myriad Pro"/>
          <w:bCs/>
          <w:sz w:val="20"/>
        </w:rPr>
        <w:t xml:space="preserve">. </w:t>
      </w:r>
      <w:r w:rsidR="00794301">
        <w:rPr>
          <w:rFonts w:ascii="Myriad Pro" w:hAnsi="Myriad Pro"/>
          <w:bCs/>
          <w:sz w:val="20"/>
        </w:rPr>
        <w:t xml:space="preserve">Posledično </w:t>
      </w:r>
      <w:r w:rsidRPr="00127982">
        <w:rPr>
          <w:rFonts w:ascii="Myriad Pro" w:hAnsi="Myriad Pro"/>
          <w:bCs/>
          <w:sz w:val="20"/>
        </w:rPr>
        <w:t>se je obremenjenost poslovnih prihodkov s stroški blaga, materiala in storitev, ki je bila leta 2021 s 85,3 % najnižja od leta 2008, povečala na 87,3 %</w:t>
      </w:r>
      <w:r>
        <w:rPr>
          <w:rFonts w:ascii="Myriad Pro" w:hAnsi="Myriad Pro"/>
          <w:bCs/>
          <w:sz w:val="20"/>
        </w:rPr>
        <w:t>, zmanjšal pa</w:t>
      </w:r>
      <w:r w:rsidRPr="00127982">
        <w:rPr>
          <w:rFonts w:ascii="Myriad Pro" w:hAnsi="Myriad Pro"/>
          <w:bCs/>
          <w:sz w:val="20"/>
        </w:rPr>
        <w:t xml:space="preserve"> se je tudi pribitek povprečne trgovske družbe.</w:t>
      </w:r>
      <w:r w:rsidR="00A36346">
        <w:rPr>
          <w:rFonts w:ascii="Myriad Pro" w:hAnsi="Myriad Pro"/>
          <w:bCs/>
          <w:sz w:val="20"/>
        </w:rPr>
        <w:t xml:space="preserve"> Leta 2023 </w:t>
      </w:r>
      <w:r w:rsidR="00980F95">
        <w:rPr>
          <w:rFonts w:ascii="Myriad Pro" w:hAnsi="Myriad Pro"/>
          <w:bCs/>
          <w:sz w:val="20"/>
        </w:rPr>
        <w:t>so se ob slabenju gospodarske aktivnosti in zmanjšanju rasti zasebne potrošnje</w:t>
      </w:r>
      <w:r w:rsidRPr="00127982">
        <w:rPr>
          <w:rFonts w:ascii="Myriad Pro" w:hAnsi="Myriad Pro"/>
          <w:bCs/>
          <w:sz w:val="20"/>
        </w:rPr>
        <w:t xml:space="preserve"> </w:t>
      </w:r>
      <w:r w:rsidR="00980F95">
        <w:rPr>
          <w:rFonts w:ascii="Myriad Pro" w:hAnsi="Myriad Pro"/>
          <w:bCs/>
          <w:sz w:val="20"/>
        </w:rPr>
        <w:t>poslovni prihodki zmanjšali</w:t>
      </w:r>
      <w:r w:rsidR="00794301">
        <w:rPr>
          <w:rFonts w:ascii="Myriad Pro" w:hAnsi="Myriad Pro"/>
          <w:bCs/>
          <w:sz w:val="20"/>
        </w:rPr>
        <w:t xml:space="preserve"> za 2,9 %</w:t>
      </w:r>
      <w:r w:rsidR="00980F95">
        <w:rPr>
          <w:rFonts w:ascii="Myriad Pro" w:hAnsi="Myriad Pro"/>
          <w:bCs/>
          <w:sz w:val="20"/>
        </w:rPr>
        <w:t xml:space="preserve">, še </w:t>
      </w:r>
      <w:r w:rsidR="00346B79">
        <w:rPr>
          <w:rFonts w:ascii="Myriad Pro" w:hAnsi="Myriad Pro"/>
          <w:bCs/>
          <w:sz w:val="20"/>
        </w:rPr>
        <w:t xml:space="preserve">nekoliko </w:t>
      </w:r>
      <w:r w:rsidR="00980F95">
        <w:rPr>
          <w:rFonts w:ascii="Myriad Pro" w:hAnsi="Myriad Pro"/>
          <w:bCs/>
          <w:sz w:val="20"/>
        </w:rPr>
        <w:t>bolj</w:t>
      </w:r>
      <w:r w:rsidR="00AF2A67">
        <w:rPr>
          <w:rFonts w:ascii="Myriad Pro" w:hAnsi="Myriad Pro"/>
          <w:bCs/>
          <w:sz w:val="20"/>
        </w:rPr>
        <w:t xml:space="preserve">, </w:t>
      </w:r>
      <w:r w:rsidR="00794301">
        <w:rPr>
          <w:rFonts w:ascii="Myriad Pro" w:hAnsi="Myriad Pro"/>
          <w:bCs/>
          <w:sz w:val="20"/>
        </w:rPr>
        <w:t>za 3,3 %</w:t>
      </w:r>
      <w:r w:rsidR="00AF2A67">
        <w:rPr>
          <w:rFonts w:ascii="Myriad Pro" w:hAnsi="Myriad Pro"/>
          <w:bCs/>
          <w:sz w:val="20"/>
        </w:rPr>
        <w:t xml:space="preserve">, </w:t>
      </w:r>
      <w:r w:rsidR="00980F95">
        <w:rPr>
          <w:rFonts w:ascii="Myriad Pro" w:hAnsi="Myriad Pro"/>
          <w:bCs/>
          <w:sz w:val="20"/>
        </w:rPr>
        <w:t xml:space="preserve">pa so se </w:t>
      </w:r>
      <w:r w:rsidR="00346B79">
        <w:rPr>
          <w:rFonts w:ascii="Myriad Pro" w:hAnsi="Myriad Pro"/>
          <w:bCs/>
          <w:sz w:val="20"/>
        </w:rPr>
        <w:t>zmanjšali poslovni odhodki</w:t>
      </w:r>
      <w:r w:rsidR="00794301">
        <w:rPr>
          <w:rFonts w:ascii="Myriad Pro" w:hAnsi="Myriad Pro"/>
          <w:bCs/>
          <w:sz w:val="20"/>
        </w:rPr>
        <w:t>.</w:t>
      </w:r>
      <w:r w:rsidR="00346B79">
        <w:rPr>
          <w:rFonts w:ascii="Myriad Pro" w:hAnsi="Myriad Pro"/>
          <w:bCs/>
          <w:sz w:val="20"/>
        </w:rPr>
        <w:t xml:space="preserve"> </w:t>
      </w:r>
      <w:r w:rsidR="00794301">
        <w:rPr>
          <w:rFonts w:ascii="Myriad Pro" w:hAnsi="Myriad Pro"/>
          <w:bCs/>
          <w:sz w:val="20"/>
        </w:rPr>
        <w:t>M</w:t>
      </w:r>
      <w:r w:rsidR="00346B79">
        <w:rPr>
          <w:rFonts w:ascii="Myriad Pro" w:hAnsi="Myriad Pro"/>
          <w:bCs/>
          <w:sz w:val="20"/>
        </w:rPr>
        <w:t xml:space="preserve">ed njimi </w:t>
      </w:r>
      <w:r w:rsidR="00794301">
        <w:rPr>
          <w:rFonts w:ascii="Myriad Pro" w:hAnsi="Myriad Pro"/>
          <w:bCs/>
          <w:sz w:val="20"/>
        </w:rPr>
        <w:t xml:space="preserve">so se za 3,8 % zmanjšali </w:t>
      </w:r>
      <w:r w:rsidR="00346B79" w:rsidRPr="00127982">
        <w:rPr>
          <w:rFonts w:ascii="Myriad Pro" w:hAnsi="Myriad Pro"/>
          <w:bCs/>
          <w:sz w:val="20"/>
        </w:rPr>
        <w:t>stroški blaga, materiala in storitev, ki predstavljajo 90 % vseh poslovnih odhodkov</w:t>
      </w:r>
      <w:r w:rsidR="007832B3">
        <w:rPr>
          <w:rFonts w:ascii="Myriad Pro" w:hAnsi="Myriad Pro"/>
          <w:bCs/>
          <w:sz w:val="20"/>
        </w:rPr>
        <w:t>. O</w:t>
      </w:r>
      <w:r w:rsidR="00794301">
        <w:rPr>
          <w:rFonts w:ascii="Myriad Pro" w:hAnsi="Myriad Pro"/>
          <w:bCs/>
          <w:sz w:val="20"/>
        </w:rPr>
        <w:t xml:space="preserve">b rasti števila zaposlenih, </w:t>
      </w:r>
      <w:r w:rsidR="00794301" w:rsidRPr="00794301">
        <w:rPr>
          <w:rFonts w:ascii="Myriad Pro" w:hAnsi="Myriad Pro"/>
          <w:bCs/>
          <w:sz w:val="20"/>
        </w:rPr>
        <w:t>dvig</w:t>
      </w:r>
      <w:r w:rsidR="00794301">
        <w:rPr>
          <w:rFonts w:ascii="Myriad Pro" w:hAnsi="Myriad Pro"/>
          <w:bCs/>
          <w:sz w:val="20"/>
        </w:rPr>
        <w:t>u</w:t>
      </w:r>
      <w:r w:rsidR="00794301" w:rsidRPr="00794301">
        <w:rPr>
          <w:rFonts w:ascii="Myriad Pro" w:hAnsi="Myriad Pro"/>
          <w:bCs/>
          <w:sz w:val="20"/>
        </w:rPr>
        <w:t xml:space="preserve"> minimalne </w:t>
      </w:r>
      <w:r w:rsidR="00794301">
        <w:rPr>
          <w:rFonts w:ascii="Myriad Pro" w:hAnsi="Myriad Pro"/>
          <w:bCs/>
          <w:sz w:val="20"/>
        </w:rPr>
        <w:t xml:space="preserve">in povprečne </w:t>
      </w:r>
      <w:r w:rsidR="00794301" w:rsidRPr="00794301">
        <w:rPr>
          <w:rFonts w:ascii="Myriad Pro" w:hAnsi="Myriad Pro"/>
          <w:bCs/>
          <w:sz w:val="20"/>
        </w:rPr>
        <w:t xml:space="preserve">plače </w:t>
      </w:r>
      <w:r w:rsidR="00794301">
        <w:rPr>
          <w:rFonts w:ascii="Myriad Pro" w:hAnsi="Myriad Pro"/>
          <w:bCs/>
          <w:sz w:val="20"/>
        </w:rPr>
        <w:t>pa so bili z</w:t>
      </w:r>
      <w:r w:rsidR="00346B79" w:rsidRPr="00127982">
        <w:rPr>
          <w:rFonts w:ascii="Myriad Pro" w:hAnsi="Myriad Pro"/>
          <w:bCs/>
          <w:sz w:val="20"/>
        </w:rPr>
        <w:t xml:space="preserve">a </w:t>
      </w:r>
      <w:r w:rsidR="00794301">
        <w:rPr>
          <w:rFonts w:ascii="Myriad Pro" w:hAnsi="Myriad Pro"/>
          <w:bCs/>
          <w:sz w:val="20"/>
        </w:rPr>
        <w:t>11,2</w:t>
      </w:r>
      <w:r w:rsidR="00346B79" w:rsidRPr="00127982">
        <w:rPr>
          <w:rFonts w:ascii="Myriad Pro" w:hAnsi="Myriad Pro"/>
          <w:bCs/>
          <w:sz w:val="20"/>
        </w:rPr>
        <w:t xml:space="preserve"> % višji stroški dela</w:t>
      </w:r>
      <w:r w:rsidR="00794301">
        <w:rPr>
          <w:rFonts w:ascii="Myriad Pro" w:hAnsi="Myriad Pro"/>
          <w:bCs/>
          <w:sz w:val="20"/>
        </w:rPr>
        <w:t>. O</w:t>
      </w:r>
      <w:r w:rsidR="00794301" w:rsidRPr="00127982">
        <w:rPr>
          <w:rFonts w:ascii="Myriad Pro" w:hAnsi="Myriad Pro"/>
          <w:bCs/>
          <w:sz w:val="20"/>
        </w:rPr>
        <w:t>b takšnih gibanjih</w:t>
      </w:r>
      <w:r w:rsidR="00346B79">
        <w:rPr>
          <w:rFonts w:ascii="Myriad Pro" w:hAnsi="Myriad Pro"/>
          <w:bCs/>
          <w:sz w:val="20"/>
        </w:rPr>
        <w:t xml:space="preserve"> sta se povečala pribitek in gospodarnost poslovanja povprečne trgovske družbe</w:t>
      </w:r>
      <w:r w:rsidR="00794301">
        <w:rPr>
          <w:rFonts w:ascii="Myriad Pro" w:hAnsi="Myriad Pro"/>
          <w:bCs/>
          <w:sz w:val="20"/>
        </w:rPr>
        <w:t xml:space="preserve">. </w:t>
      </w:r>
      <w:r w:rsidR="00496480">
        <w:rPr>
          <w:rFonts w:ascii="Myriad Pro" w:hAnsi="Myriad Pro"/>
          <w:bCs/>
          <w:sz w:val="20"/>
        </w:rPr>
        <w:t xml:space="preserve">Pribitek in gospodarnost poslovanja </w:t>
      </w:r>
      <w:r w:rsidRPr="00127982">
        <w:rPr>
          <w:rFonts w:ascii="Myriad Pro" w:hAnsi="Myriad Pro"/>
          <w:bCs/>
          <w:sz w:val="20"/>
        </w:rPr>
        <w:t>s</w:t>
      </w:r>
      <w:r w:rsidR="002B44EB">
        <w:rPr>
          <w:rFonts w:ascii="Myriad Pro" w:hAnsi="Myriad Pro"/>
          <w:bCs/>
          <w:sz w:val="20"/>
        </w:rPr>
        <w:t xml:space="preserve">ta </w:t>
      </w:r>
      <w:r w:rsidR="002B44EB" w:rsidRPr="002B44EB">
        <w:rPr>
          <w:rFonts w:ascii="Myriad Pro" w:hAnsi="Myriad Pro"/>
          <w:bCs/>
          <w:sz w:val="20"/>
        </w:rPr>
        <w:t>se</w:t>
      </w:r>
      <w:r w:rsidRPr="002B44EB">
        <w:rPr>
          <w:rFonts w:ascii="Myriad Pro" w:hAnsi="Myriad Pro"/>
          <w:bCs/>
          <w:sz w:val="20"/>
        </w:rPr>
        <w:t xml:space="preserve"> povečal</w:t>
      </w:r>
      <w:r w:rsidR="002B44EB" w:rsidRPr="002B44EB">
        <w:rPr>
          <w:rFonts w:ascii="Myriad Pro" w:hAnsi="Myriad Pro"/>
          <w:bCs/>
          <w:sz w:val="20"/>
        </w:rPr>
        <w:t>a</w:t>
      </w:r>
      <w:r w:rsidRPr="00127982">
        <w:rPr>
          <w:rFonts w:ascii="Myriad Pro" w:hAnsi="Myriad Pro"/>
          <w:bCs/>
          <w:sz w:val="20"/>
        </w:rPr>
        <w:t xml:space="preserve"> pri družbah trgovine na drobno</w:t>
      </w:r>
      <w:r w:rsidR="000858E4">
        <w:rPr>
          <w:rFonts w:ascii="Myriad Pro" w:hAnsi="Myriad Pro"/>
          <w:bCs/>
          <w:sz w:val="20"/>
        </w:rPr>
        <w:t xml:space="preserve">, kjer je </w:t>
      </w:r>
      <w:r w:rsidR="002407A0">
        <w:rPr>
          <w:rFonts w:ascii="Myriad Pro" w:hAnsi="Myriad Pro"/>
          <w:bCs/>
          <w:sz w:val="20"/>
        </w:rPr>
        <w:t xml:space="preserve">pribitek </w:t>
      </w:r>
      <w:r w:rsidR="000858E4">
        <w:rPr>
          <w:rFonts w:ascii="Myriad Pro" w:hAnsi="Myriad Pro"/>
          <w:bCs/>
          <w:sz w:val="20"/>
        </w:rPr>
        <w:t xml:space="preserve">ostal pod ravnjo pred epidemijo in trgovine na debelo, kjer je bil </w:t>
      </w:r>
      <w:r w:rsidR="002407A0">
        <w:rPr>
          <w:rFonts w:ascii="Myriad Pro" w:hAnsi="Myriad Pro"/>
          <w:bCs/>
          <w:sz w:val="20"/>
        </w:rPr>
        <w:t xml:space="preserve">pribitek </w:t>
      </w:r>
      <w:r w:rsidR="000858E4">
        <w:rPr>
          <w:rFonts w:ascii="Myriad Pro" w:hAnsi="Myriad Pro"/>
          <w:bCs/>
          <w:sz w:val="20"/>
        </w:rPr>
        <w:t xml:space="preserve">med višjimi v celotnem obdobju, </w:t>
      </w:r>
      <w:r w:rsidR="00794301">
        <w:rPr>
          <w:rFonts w:ascii="Myriad Pro" w:hAnsi="Myriad Pro"/>
          <w:bCs/>
          <w:sz w:val="20"/>
        </w:rPr>
        <w:t xml:space="preserve">pri </w:t>
      </w:r>
      <w:r w:rsidR="000858E4">
        <w:rPr>
          <w:rFonts w:ascii="Myriad Pro" w:hAnsi="Myriad Pro"/>
          <w:bCs/>
          <w:sz w:val="20"/>
        </w:rPr>
        <w:t>družbah trgovine z motornimi vozili</w:t>
      </w:r>
      <w:r w:rsidR="00794301">
        <w:rPr>
          <w:rFonts w:ascii="Myriad Pro" w:hAnsi="Myriad Pro"/>
          <w:bCs/>
          <w:sz w:val="20"/>
        </w:rPr>
        <w:t xml:space="preserve"> pa je ostal podoben kot v letu 202</w:t>
      </w:r>
      <w:r w:rsidR="000858E4">
        <w:rPr>
          <w:rFonts w:ascii="Myriad Pro" w:hAnsi="Myriad Pro"/>
          <w:bCs/>
          <w:sz w:val="20"/>
        </w:rPr>
        <w:t xml:space="preserve">2, ko je bil </w:t>
      </w:r>
      <w:r w:rsidR="00CE547D">
        <w:rPr>
          <w:rFonts w:ascii="Myriad Pro" w:hAnsi="Myriad Pro"/>
          <w:bCs/>
          <w:sz w:val="20"/>
        </w:rPr>
        <w:t xml:space="preserve">sicer </w:t>
      </w:r>
      <w:r w:rsidR="000858E4">
        <w:rPr>
          <w:rFonts w:ascii="Myriad Pro" w:hAnsi="Myriad Pro"/>
          <w:bCs/>
          <w:sz w:val="20"/>
        </w:rPr>
        <w:t>najvišji od leta 2008.</w:t>
      </w:r>
    </w:p>
    <w:p w14:paraId="1E9287C0" w14:textId="77777777" w:rsidR="00440058" w:rsidRDefault="00440058" w:rsidP="00440058">
      <w:pPr>
        <w:spacing w:after="0" w:line="288" w:lineRule="auto"/>
        <w:jc w:val="both"/>
        <w:rPr>
          <w:rFonts w:ascii="Myriad Pro" w:hAnsi="Myriad Pro"/>
          <w:bCs/>
          <w:sz w:val="20"/>
        </w:rPr>
      </w:pPr>
    </w:p>
    <w:p w14:paraId="7652421A" w14:textId="76822AC6" w:rsidR="00127982" w:rsidRPr="00127982" w:rsidRDefault="00127982" w:rsidP="00127982">
      <w:pPr>
        <w:keepNext/>
        <w:keepLines/>
        <w:tabs>
          <w:tab w:val="right" w:leader="dot" w:pos="9070"/>
        </w:tabs>
        <w:spacing w:before="240" w:after="60" w:line="288" w:lineRule="auto"/>
        <w:contextualSpacing/>
        <w:jc w:val="both"/>
        <w:rPr>
          <w:rFonts w:ascii="Myriad Pro" w:hAnsi="Myriad Pro"/>
          <w:b/>
          <w:bCs/>
          <w:noProof/>
          <w:sz w:val="20"/>
          <w:szCs w:val="20"/>
        </w:rPr>
      </w:pPr>
      <w:r w:rsidRPr="00127982">
        <w:rPr>
          <w:rFonts w:ascii="Myriad Pro" w:hAnsi="Myriad Pro"/>
          <w:b/>
          <w:bCs/>
          <w:noProof/>
          <w:sz w:val="20"/>
          <w:szCs w:val="20"/>
        </w:rPr>
        <w:t xml:space="preserve">Slika </w:t>
      </w:r>
      <w:r w:rsidRPr="00127982">
        <w:rPr>
          <w:rFonts w:ascii="Myriad Pro" w:hAnsi="Myriad Pro"/>
          <w:b/>
          <w:bCs/>
          <w:noProof/>
          <w:sz w:val="20"/>
          <w:szCs w:val="20"/>
        </w:rPr>
        <w:fldChar w:fldCharType="begin"/>
      </w:r>
      <w:r w:rsidRPr="00127982">
        <w:rPr>
          <w:rFonts w:ascii="Myriad Pro" w:hAnsi="Myriad Pro"/>
          <w:b/>
          <w:bCs/>
          <w:noProof/>
          <w:sz w:val="20"/>
          <w:szCs w:val="20"/>
        </w:rPr>
        <w:instrText xml:space="preserve"> SEQ Slika \* ARABIC </w:instrText>
      </w:r>
      <w:r w:rsidRPr="00127982">
        <w:rPr>
          <w:rFonts w:ascii="Myriad Pro" w:hAnsi="Myriad Pro"/>
          <w:b/>
          <w:bCs/>
          <w:noProof/>
          <w:sz w:val="20"/>
          <w:szCs w:val="20"/>
        </w:rPr>
        <w:fldChar w:fldCharType="separate"/>
      </w:r>
      <w:r w:rsidR="008F42D6">
        <w:rPr>
          <w:rFonts w:ascii="Myriad Pro" w:hAnsi="Myriad Pro"/>
          <w:b/>
          <w:bCs/>
          <w:noProof/>
          <w:sz w:val="20"/>
          <w:szCs w:val="20"/>
        </w:rPr>
        <w:t>5</w:t>
      </w:r>
      <w:r w:rsidRPr="00127982">
        <w:rPr>
          <w:rFonts w:ascii="Myriad Pro" w:hAnsi="Myriad Pro"/>
          <w:b/>
          <w:bCs/>
          <w:noProof/>
          <w:sz w:val="20"/>
          <w:szCs w:val="20"/>
        </w:rPr>
        <w:fldChar w:fldCharType="end"/>
      </w:r>
      <w:r w:rsidRPr="00127982">
        <w:rPr>
          <w:rFonts w:ascii="Myriad Pro" w:hAnsi="Myriad Pro"/>
          <w:b/>
          <w:bCs/>
          <w:noProof/>
          <w:sz w:val="20"/>
          <w:szCs w:val="20"/>
        </w:rPr>
        <w:t xml:space="preserve">: </w:t>
      </w:r>
      <w:r w:rsidRPr="000858E4">
        <w:rPr>
          <w:rFonts w:ascii="Myriad Pro" w:hAnsi="Myriad Pro"/>
          <w:b/>
          <w:bCs/>
          <w:noProof/>
          <w:sz w:val="20"/>
          <w:szCs w:val="20"/>
        </w:rPr>
        <w:t>Presežek prihodkov</w:t>
      </w:r>
      <w:r w:rsidRPr="00127982">
        <w:rPr>
          <w:rFonts w:ascii="Myriad Pro" w:hAnsi="Myriad Pro"/>
          <w:b/>
          <w:bCs/>
          <w:noProof/>
          <w:sz w:val="20"/>
          <w:szCs w:val="20"/>
        </w:rPr>
        <w:t xml:space="preserve"> od prodaje nad stroški blaga, materiala, storitev in dela se je leta 202</w:t>
      </w:r>
      <w:r w:rsidR="008F42D6">
        <w:rPr>
          <w:rFonts w:ascii="Myriad Pro" w:hAnsi="Myriad Pro"/>
          <w:b/>
          <w:bCs/>
          <w:noProof/>
          <w:sz w:val="20"/>
          <w:szCs w:val="20"/>
        </w:rPr>
        <w:t>3</w:t>
      </w:r>
      <w:r w:rsidRPr="00127982">
        <w:rPr>
          <w:rFonts w:ascii="Myriad Pro" w:hAnsi="Myriad Pro"/>
          <w:b/>
          <w:bCs/>
          <w:noProof/>
          <w:sz w:val="20"/>
          <w:szCs w:val="20"/>
        </w:rPr>
        <w:t xml:space="preserve"> povečal pri družbah trgovine </w:t>
      </w:r>
      <w:r w:rsidR="008F42D6">
        <w:rPr>
          <w:rFonts w:ascii="Myriad Pro" w:hAnsi="Myriad Pro"/>
          <w:b/>
          <w:bCs/>
          <w:noProof/>
          <w:sz w:val="20"/>
          <w:szCs w:val="20"/>
        </w:rPr>
        <w:t>na drobno in trgovine na debelo</w:t>
      </w:r>
    </w:p>
    <w:p w14:paraId="4CBEE03F" w14:textId="43E484C4" w:rsidR="00127982" w:rsidRPr="00127982" w:rsidRDefault="002407A0" w:rsidP="00127982">
      <w:pPr>
        <w:spacing w:after="0" w:line="288" w:lineRule="auto"/>
        <w:jc w:val="both"/>
        <w:rPr>
          <w:rFonts w:ascii="Myriad Pro" w:hAnsi="Myriad Pro"/>
          <w:b/>
          <w:sz w:val="20"/>
        </w:rPr>
      </w:pPr>
      <w:r w:rsidRPr="002407A0">
        <w:rPr>
          <w:noProof/>
        </w:rPr>
        <w:drawing>
          <wp:inline distT="0" distB="0" distL="0" distR="0" wp14:anchorId="7C30EF8D" wp14:editId="7F4A0E60">
            <wp:extent cx="5759450" cy="20043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7862" cy="2007292"/>
                    </a:xfrm>
                    <a:prstGeom prst="rect">
                      <a:avLst/>
                    </a:prstGeom>
                    <a:noFill/>
                    <a:ln>
                      <a:noFill/>
                    </a:ln>
                  </pic:spPr>
                </pic:pic>
              </a:graphicData>
            </a:graphic>
          </wp:inline>
        </w:drawing>
      </w:r>
    </w:p>
    <w:p w14:paraId="0A249579" w14:textId="0D6FC53F" w:rsidR="00F92B45" w:rsidRDefault="00127982" w:rsidP="00127982">
      <w:pPr>
        <w:spacing w:before="40" w:after="0" w:line="240" w:lineRule="auto"/>
        <w:jc w:val="both"/>
        <w:rPr>
          <w:rFonts w:ascii="Myriad Pro" w:hAnsi="Myriad Pro"/>
          <w:sz w:val="16"/>
        </w:rPr>
      </w:pPr>
      <w:r w:rsidRPr="00127982">
        <w:rPr>
          <w:rFonts w:ascii="Myriad Pro" w:hAnsi="Myriad Pro"/>
          <w:sz w:val="16"/>
        </w:rPr>
        <w:t xml:space="preserve">Vir podatkov: </w:t>
      </w:r>
      <w:r w:rsidRPr="00127982">
        <w:rPr>
          <w:rFonts w:ascii="Myriad Pro" w:hAnsi="Myriad Pro"/>
          <w:sz w:val="16"/>
        </w:rPr>
        <w:fldChar w:fldCharType="begin"/>
      </w:r>
      <w:r w:rsidR="00317ED8">
        <w:rPr>
          <w:rFonts w:ascii="Myriad Pro" w:hAnsi="Myriad Pro"/>
          <w:sz w:val="16"/>
        </w:rPr>
        <w:instrText xml:space="preserve"> ADDIN ZOTERO_ITEM CSL_CITATION {"citationID":"FXOXtCfB","properties":{"formattedCitation":"(AJPES, 2024)","plainCitation":"(AJPES, 2024)","noteIndex":0},"citationItems":[{"id":3,"uris":["http://zotero.org/users/8372339/items/IC2SCV5C",["http://zotero.org/users/8372339/items/IC2SCV5C"]],"itemData":{"id":3,"type":"report","event-place":"Ljubljana","publisher":"Agencija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rsidRPr="00127982">
        <w:rPr>
          <w:rFonts w:ascii="Myriad Pro" w:hAnsi="Myriad Pro"/>
          <w:sz w:val="16"/>
        </w:rPr>
        <w:fldChar w:fldCharType="separate"/>
      </w:r>
      <w:r w:rsidR="00317ED8" w:rsidRPr="00317ED8">
        <w:rPr>
          <w:rFonts w:ascii="Myriad Pro" w:hAnsi="Myriad Pro"/>
          <w:sz w:val="16"/>
        </w:rPr>
        <w:t>AJPES</w:t>
      </w:r>
      <w:r w:rsidR="00317ED8">
        <w:rPr>
          <w:rFonts w:ascii="Myriad Pro" w:hAnsi="Myriad Pro"/>
          <w:sz w:val="16"/>
        </w:rPr>
        <w:t xml:space="preserve"> (</w:t>
      </w:r>
      <w:r w:rsidR="00317ED8" w:rsidRPr="00317ED8">
        <w:rPr>
          <w:rFonts w:ascii="Myriad Pro" w:hAnsi="Myriad Pro"/>
          <w:sz w:val="16"/>
        </w:rPr>
        <w:t>2024)</w:t>
      </w:r>
      <w:r w:rsidRPr="00127982">
        <w:rPr>
          <w:rFonts w:ascii="Myriad Pro" w:hAnsi="Myriad Pro"/>
          <w:sz w:val="16"/>
        </w:rPr>
        <w:fldChar w:fldCharType="end"/>
      </w:r>
      <w:r w:rsidRPr="00127982">
        <w:rPr>
          <w:rFonts w:ascii="Myriad Pro" w:hAnsi="Myriad Pro"/>
          <w:sz w:val="16"/>
        </w:rPr>
        <w:t>, lastni izračuni.</w:t>
      </w:r>
    </w:p>
    <w:p w14:paraId="2437BA61" w14:textId="18E75E35" w:rsidR="00127982" w:rsidRPr="00127982" w:rsidRDefault="00127982" w:rsidP="00127982">
      <w:pPr>
        <w:keepNext/>
        <w:keepLines/>
        <w:tabs>
          <w:tab w:val="right" w:leader="dot" w:pos="9070"/>
        </w:tabs>
        <w:spacing w:before="240" w:after="60" w:line="288" w:lineRule="auto"/>
        <w:contextualSpacing/>
        <w:jc w:val="both"/>
        <w:rPr>
          <w:rFonts w:ascii="Myriad Pro" w:hAnsi="Myriad Pro"/>
          <w:b/>
          <w:bCs/>
          <w:noProof/>
          <w:sz w:val="20"/>
          <w:szCs w:val="20"/>
        </w:rPr>
      </w:pPr>
      <w:r w:rsidRPr="00127982">
        <w:rPr>
          <w:rFonts w:ascii="Myriad Pro" w:hAnsi="Myriad Pro"/>
          <w:b/>
          <w:bCs/>
          <w:noProof/>
          <w:sz w:val="20"/>
          <w:szCs w:val="20"/>
        </w:rPr>
        <w:lastRenderedPageBreak/>
        <w:t xml:space="preserve">Slika </w:t>
      </w:r>
      <w:r w:rsidRPr="00127982">
        <w:rPr>
          <w:rFonts w:ascii="Myriad Pro" w:hAnsi="Myriad Pro"/>
          <w:b/>
          <w:bCs/>
          <w:noProof/>
          <w:sz w:val="20"/>
          <w:szCs w:val="20"/>
        </w:rPr>
        <w:fldChar w:fldCharType="begin"/>
      </w:r>
      <w:r w:rsidRPr="00127982">
        <w:rPr>
          <w:rFonts w:ascii="Myriad Pro" w:hAnsi="Myriad Pro"/>
          <w:b/>
          <w:bCs/>
          <w:noProof/>
          <w:sz w:val="20"/>
          <w:szCs w:val="20"/>
        </w:rPr>
        <w:instrText xml:space="preserve"> SEQ Slika \* ARABIC </w:instrText>
      </w:r>
      <w:r w:rsidRPr="00127982">
        <w:rPr>
          <w:rFonts w:ascii="Myriad Pro" w:hAnsi="Myriad Pro"/>
          <w:b/>
          <w:bCs/>
          <w:noProof/>
          <w:sz w:val="20"/>
          <w:szCs w:val="20"/>
        </w:rPr>
        <w:fldChar w:fldCharType="separate"/>
      </w:r>
      <w:r w:rsidR="008F42D6">
        <w:rPr>
          <w:rFonts w:ascii="Myriad Pro" w:hAnsi="Myriad Pro"/>
          <w:b/>
          <w:bCs/>
          <w:noProof/>
          <w:sz w:val="20"/>
          <w:szCs w:val="20"/>
        </w:rPr>
        <w:t>6</w:t>
      </w:r>
      <w:r w:rsidRPr="00127982">
        <w:rPr>
          <w:rFonts w:ascii="Myriad Pro" w:hAnsi="Myriad Pro"/>
          <w:b/>
          <w:bCs/>
          <w:noProof/>
          <w:sz w:val="20"/>
          <w:szCs w:val="20"/>
        </w:rPr>
        <w:fldChar w:fldCharType="end"/>
      </w:r>
      <w:r w:rsidRPr="00127982">
        <w:rPr>
          <w:rFonts w:ascii="Myriad Pro" w:hAnsi="Myriad Pro"/>
          <w:b/>
          <w:bCs/>
          <w:noProof/>
          <w:sz w:val="20"/>
          <w:szCs w:val="20"/>
        </w:rPr>
        <w:t xml:space="preserve">: </w:t>
      </w:r>
      <w:r w:rsidRPr="000858E4">
        <w:rPr>
          <w:rFonts w:ascii="Myriad Pro" w:hAnsi="Myriad Pro"/>
          <w:b/>
          <w:bCs/>
          <w:noProof/>
          <w:sz w:val="20"/>
          <w:szCs w:val="20"/>
        </w:rPr>
        <w:t>Obremenjenost</w:t>
      </w:r>
      <w:r w:rsidRPr="00127982">
        <w:rPr>
          <w:rFonts w:ascii="Myriad Pro" w:hAnsi="Myriad Pro"/>
          <w:b/>
          <w:bCs/>
          <w:noProof/>
          <w:sz w:val="20"/>
          <w:szCs w:val="20"/>
        </w:rPr>
        <w:t xml:space="preserve"> poslovnih prihodkov s stroški blaga, materiala in storitev se je leta 202</w:t>
      </w:r>
      <w:r w:rsidR="000858E4">
        <w:rPr>
          <w:rFonts w:ascii="Myriad Pro" w:hAnsi="Myriad Pro"/>
          <w:b/>
          <w:bCs/>
          <w:noProof/>
          <w:sz w:val="20"/>
          <w:szCs w:val="20"/>
        </w:rPr>
        <w:t>3</w:t>
      </w:r>
      <w:r w:rsidRPr="00127982">
        <w:rPr>
          <w:rFonts w:ascii="Myriad Pro" w:hAnsi="Myriad Pro"/>
          <w:b/>
          <w:bCs/>
          <w:noProof/>
          <w:sz w:val="20"/>
          <w:szCs w:val="20"/>
        </w:rPr>
        <w:t xml:space="preserve"> v večini trgovskih panog </w:t>
      </w:r>
      <w:r w:rsidR="000858E4">
        <w:rPr>
          <w:rFonts w:ascii="Myriad Pro" w:hAnsi="Myriad Pro"/>
          <w:b/>
          <w:bCs/>
          <w:noProof/>
          <w:sz w:val="20"/>
          <w:szCs w:val="20"/>
        </w:rPr>
        <w:t>zmanjšala</w:t>
      </w:r>
    </w:p>
    <w:p w14:paraId="08F5D84F" w14:textId="66E4D5B0" w:rsidR="00127982" w:rsidRPr="00127982" w:rsidRDefault="002407A0" w:rsidP="00127982">
      <w:pPr>
        <w:keepNext/>
        <w:keepLines/>
        <w:tabs>
          <w:tab w:val="right" w:leader="dot" w:pos="9070"/>
        </w:tabs>
        <w:spacing w:before="240" w:after="60" w:line="288" w:lineRule="auto"/>
        <w:contextualSpacing/>
        <w:jc w:val="both"/>
        <w:rPr>
          <w:rFonts w:ascii="Myriad Pro" w:hAnsi="Myriad Pro"/>
          <w:b/>
          <w:bCs/>
          <w:noProof/>
          <w:sz w:val="20"/>
          <w:szCs w:val="20"/>
        </w:rPr>
      </w:pPr>
      <w:r>
        <w:rPr>
          <w:rFonts w:ascii="Myriad Pro" w:hAnsi="Myriad Pro"/>
          <w:b/>
          <w:bCs/>
          <w:noProof/>
          <w:sz w:val="20"/>
          <w:szCs w:val="20"/>
          <w14:ligatures w14:val="none"/>
        </w:rPr>
        <w:drawing>
          <wp:inline distT="0" distB="0" distL="0" distR="0" wp14:anchorId="73E6A14B" wp14:editId="6D8BD7FB">
            <wp:extent cx="5759450" cy="2094230"/>
            <wp:effectExtent l="0" t="0" r="0" b="1270"/>
            <wp:docPr id="9" name="Picture 9" descr="A graph with lin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aph with lines and numbers&#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59450" cy="2094230"/>
                    </a:xfrm>
                    <a:prstGeom prst="rect">
                      <a:avLst/>
                    </a:prstGeom>
                  </pic:spPr>
                </pic:pic>
              </a:graphicData>
            </a:graphic>
          </wp:inline>
        </w:drawing>
      </w:r>
      <w:r w:rsidR="00127982" w:rsidRPr="00127982">
        <w:rPr>
          <w:rFonts w:ascii="Myriad Pro" w:hAnsi="Myriad Pro"/>
          <w:b/>
          <w:bCs/>
          <w:noProof/>
          <w:sz w:val="20"/>
          <w:szCs w:val="20"/>
        </w:rPr>
        <w:t xml:space="preserve"> </w:t>
      </w:r>
    </w:p>
    <w:p w14:paraId="5A780399" w14:textId="4FD8C007" w:rsidR="00127982" w:rsidRDefault="00127982" w:rsidP="00127982">
      <w:pPr>
        <w:spacing w:before="40" w:after="0" w:line="240" w:lineRule="auto"/>
        <w:jc w:val="both"/>
        <w:rPr>
          <w:rFonts w:ascii="Myriad Pro" w:hAnsi="Myriad Pro"/>
          <w:sz w:val="16"/>
        </w:rPr>
      </w:pPr>
      <w:r w:rsidRPr="00127982">
        <w:rPr>
          <w:rFonts w:ascii="Myriad Pro" w:hAnsi="Myriad Pro"/>
          <w:sz w:val="16"/>
        </w:rPr>
        <w:t xml:space="preserve">Vir podatkov: </w:t>
      </w:r>
      <w:r w:rsidRPr="00127982">
        <w:rPr>
          <w:rFonts w:ascii="Myriad Pro" w:hAnsi="Myriad Pro"/>
          <w:sz w:val="16"/>
        </w:rPr>
        <w:fldChar w:fldCharType="begin"/>
      </w:r>
      <w:r w:rsidR="00317ED8">
        <w:rPr>
          <w:rFonts w:ascii="Myriad Pro" w:hAnsi="Myriad Pro"/>
          <w:sz w:val="16"/>
        </w:rPr>
        <w:instrText xml:space="preserve"> ADDIN ZOTERO_ITEM CSL_CITATION {"citationID":"7OdGIgKq","properties":{"formattedCitation":"(AJPES, 2024)","plainCitation":"(AJPES, 2024)","noteIndex":0},"citationItems":[{"id":3,"uris":["http://zotero.org/users/8372339/items/IC2SCV5C",["http://zotero.org/users/8372339/items/IC2SCV5C"]],"itemData":{"id":3,"type":"report","event-place":"Ljubljana","publisher":"Agencija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rsidRPr="00127982">
        <w:rPr>
          <w:rFonts w:ascii="Myriad Pro" w:hAnsi="Myriad Pro"/>
          <w:sz w:val="16"/>
        </w:rPr>
        <w:fldChar w:fldCharType="separate"/>
      </w:r>
      <w:r w:rsidR="00317ED8" w:rsidRPr="00317ED8">
        <w:rPr>
          <w:rFonts w:ascii="Myriad Pro" w:hAnsi="Myriad Pro"/>
          <w:sz w:val="16"/>
        </w:rPr>
        <w:t xml:space="preserve">AJPES </w:t>
      </w:r>
      <w:r w:rsidR="00317ED8">
        <w:rPr>
          <w:rFonts w:ascii="Myriad Pro" w:hAnsi="Myriad Pro"/>
          <w:sz w:val="16"/>
        </w:rPr>
        <w:t>(</w:t>
      </w:r>
      <w:r w:rsidR="00317ED8" w:rsidRPr="00317ED8">
        <w:rPr>
          <w:rFonts w:ascii="Myriad Pro" w:hAnsi="Myriad Pro"/>
          <w:sz w:val="16"/>
        </w:rPr>
        <w:t>2024)</w:t>
      </w:r>
      <w:r w:rsidRPr="00127982">
        <w:rPr>
          <w:rFonts w:ascii="Myriad Pro" w:hAnsi="Myriad Pro"/>
          <w:sz w:val="16"/>
        </w:rPr>
        <w:fldChar w:fldCharType="end"/>
      </w:r>
      <w:r w:rsidRPr="00127982">
        <w:rPr>
          <w:rFonts w:ascii="Myriad Pro" w:hAnsi="Myriad Pro"/>
          <w:sz w:val="16"/>
        </w:rPr>
        <w:fldChar w:fldCharType="begin"/>
      </w:r>
      <w:r w:rsidR="00317ED8">
        <w:rPr>
          <w:rFonts w:ascii="Myriad Pro" w:hAnsi="Myriad Pro"/>
          <w:sz w:val="16"/>
        </w:rPr>
        <w:instrText xml:space="preserve"> ADDIN ZOTERO_ITEM CSL_CITATION {"citationID":"FhFPzOUW","properties":{"formattedCitation":"(AJPES, 2022)","plainCitation":"(AJPES, 2022)","dontUpdate":true,"noteIndex":0},"citationItems":[{"id":3,"uris":["http://zotero.org/users/8372339/items/IC2SCV5C",["http://zotero.org/users/8372339/items/IC2SCV5C"]],"itemData":{"id":3,"type":"report","event-place":"Ljubljana","publisher":"Agencija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rsidRPr="00127982">
        <w:rPr>
          <w:rFonts w:ascii="Myriad Pro" w:hAnsi="Myriad Pro"/>
          <w:sz w:val="16"/>
        </w:rPr>
        <w:fldChar w:fldCharType="end"/>
      </w:r>
      <w:r w:rsidRPr="00127982">
        <w:rPr>
          <w:rFonts w:ascii="Myriad Pro" w:hAnsi="Myriad Pro"/>
          <w:sz w:val="16"/>
        </w:rPr>
        <w:t>, lastni izračuni.</w:t>
      </w:r>
    </w:p>
    <w:p w14:paraId="250DB58A" w14:textId="77777777" w:rsidR="007A7055" w:rsidRDefault="007A7055" w:rsidP="00127982">
      <w:pPr>
        <w:spacing w:before="40" w:after="0" w:line="240" w:lineRule="auto"/>
        <w:jc w:val="both"/>
        <w:rPr>
          <w:rFonts w:ascii="Myriad Pro" w:hAnsi="Myriad Pro"/>
          <w:sz w:val="16"/>
        </w:rPr>
      </w:pPr>
    </w:p>
    <w:p w14:paraId="72E3CA9F" w14:textId="0C2D751C" w:rsidR="00623103" w:rsidRDefault="00623103" w:rsidP="00623103">
      <w:pPr>
        <w:spacing w:after="0" w:line="288" w:lineRule="auto"/>
        <w:jc w:val="both"/>
        <w:rPr>
          <w:rFonts w:ascii="Myriad Pro" w:hAnsi="Myriad Pro"/>
          <w:sz w:val="20"/>
        </w:rPr>
      </w:pPr>
      <w:r w:rsidRPr="00127982">
        <w:rPr>
          <w:rFonts w:ascii="Myriad Pro" w:hAnsi="Myriad Pro"/>
          <w:b/>
          <w:sz w:val="20"/>
        </w:rPr>
        <w:t>Zadolženost trgovinskih družb</w:t>
      </w:r>
      <w:r>
        <w:rPr>
          <w:rFonts w:ascii="Myriad Pro" w:hAnsi="Myriad Pro"/>
          <w:b/>
          <w:sz w:val="20"/>
        </w:rPr>
        <w:t>, ki</w:t>
      </w:r>
      <w:r w:rsidRPr="00127982">
        <w:rPr>
          <w:rFonts w:ascii="Myriad Pro" w:hAnsi="Myriad Pro"/>
          <w:b/>
          <w:sz w:val="20"/>
        </w:rPr>
        <w:t xml:space="preserve"> se je v letu 2022 precej povečala</w:t>
      </w:r>
      <w:r>
        <w:rPr>
          <w:rFonts w:ascii="Myriad Pro" w:hAnsi="Myriad Pro"/>
          <w:b/>
          <w:sz w:val="20"/>
        </w:rPr>
        <w:t>, se je leta 2023 spet zmanjšala</w:t>
      </w:r>
      <w:r w:rsidRPr="00127982">
        <w:rPr>
          <w:rFonts w:ascii="Myriad Pro" w:hAnsi="Myriad Pro"/>
          <w:b/>
          <w:sz w:val="20"/>
        </w:rPr>
        <w:t xml:space="preserve">. </w:t>
      </w:r>
      <w:r w:rsidRPr="00127982">
        <w:rPr>
          <w:rFonts w:ascii="Myriad Pro" w:hAnsi="Myriad Pro"/>
          <w:sz w:val="20"/>
        </w:rPr>
        <w:t xml:space="preserve">Zadolženost, merjena z deležem dolga v virih sredstev, </w:t>
      </w:r>
      <w:r>
        <w:rPr>
          <w:rFonts w:ascii="Myriad Pro" w:hAnsi="Myriad Pro"/>
          <w:sz w:val="20"/>
        </w:rPr>
        <w:t xml:space="preserve">se je po prehodnem povečanju v letu 2022 </w:t>
      </w:r>
      <w:r w:rsidR="00511349">
        <w:rPr>
          <w:rFonts w:ascii="Myriad Pro" w:hAnsi="Myriad Pro"/>
          <w:sz w:val="20"/>
        </w:rPr>
        <w:t xml:space="preserve">lani </w:t>
      </w:r>
      <w:r>
        <w:rPr>
          <w:rFonts w:ascii="Myriad Pro" w:hAnsi="Myriad Pro"/>
          <w:sz w:val="20"/>
        </w:rPr>
        <w:t xml:space="preserve">spet zmanjšala </w:t>
      </w:r>
      <w:r w:rsidRPr="00127982">
        <w:rPr>
          <w:rFonts w:ascii="Myriad Pro" w:hAnsi="Myriad Pro"/>
          <w:sz w:val="20"/>
        </w:rPr>
        <w:t xml:space="preserve">in bila </w:t>
      </w:r>
      <w:r>
        <w:rPr>
          <w:rFonts w:ascii="Myriad Pro" w:hAnsi="Myriad Pro"/>
          <w:sz w:val="20"/>
        </w:rPr>
        <w:t>s</w:t>
      </w:r>
      <w:r w:rsidRPr="00127982">
        <w:rPr>
          <w:rFonts w:ascii="Myriad Pro" w:hAnsi="Myriad Pro"/>
          <w:sz w:val="20"/>
        </w:rPr>
        <w:t xml:space="preserve"> 5</w:t>
      </w:r>
      <w:r>
        <w:rPr>
          <w:rFonts w:ascii="Myriad Pro" w:hAnsi="Myriad Pro"/>
          <w:sz w:val="20"/>
        </w:rPr>
        <w:t>7 </w:t>
      </w:r>
      <w:r w:rsidRPr="00127982">
        <w:rPr>
          <w:rFonts w:ascii="Myriad Pro" w:hAnsi="Myriad Pro"/>
          <w:sz w:val="20"/>
        </w:rPr>
        <w:t>% naj</w:t>
      </w:r>
      <w:r>
        <w:rPr>
          <w:rFonts w:ascii="Myriad Pro" w:hAnsi="Myriad Pro"/>
          <w:sz w:val="20"/>
        </w:rPr>
        <w:t>nižja od leta 2008</w:t>
      </w:r>
      <w:r w:rsidRPr="00127982">
        <w:rPr>
          <w:rFonts w:ascii="Myriad Pro" w:hAnsi="Myriad Pro"/>
          <w:sz w:val="20"/>
        </w:rPr>
        <w:t xml:space="preserve">. </w:t>
      </w:r>
      <w:r w:rsidR="00CD2C50">
        <w:rPr>
          <w:rFonts w:ascii="Myriad Pro" w:hAnsi="Myriad Pro"/>
          <w:sz w:val="20"/>
        </w:rPr>
        <w:t>D</w:t>
      </w:r>
      <w:r>
        <w:rPr>
          <w:rFonts w:ascii="Myriad Pro" w:hAnsi="Myriad Pro"/>
          <w:sz w:val="20"/>
        </w:rPr>
        <w:t>ružbe so zmanjšale svoje</w:t>
      </w:r>
      <w:r w:rsidRPr="00127982">
        <w:rPr>
          <w:rFonts w:ascii="Myriad Pro" w:hAnsi="Myriad Pro"/>
          <w:sz w:val="20"/>
        </w:rPr>
        <w:t xml:space="preserve"> kratkoročne </w:t>
      </w:r>
      <w:r>
        <w:rPr>
          <w:rFonts w:ascii="Myriad Pro" w:hAnsi="Myriad Pro"/>
          <w:sz w:val="20"/>
        </w:rPr>
        <w:t xml:space="preserve">in dolgoročne </w:t>
      </w:r>
      <w:r w:rsidRPr="00127982">
        <w:rPr>
          <w:rFonts w:ascii="Myriad Pro" w:hAnsi="Myriad Pro"/>
          <w:sz w:val="20"/>
        </w:rPr>
        <w:t>obveznosti</w:t>
      </w:r>
      <w:r>
        <w:rPr>
          <w:rFonts w:ascii="Myriad Pro" w:hAnsi="Myriad Pro"/>
          <w:sz w:val="20"/>
        </w:rPr>
        <w:t>.</w:t>
      </w:r>
      <w:r w:rsidRPr="00127982">
        <w:rPr>
          <w:rFonts w:ascii="Myriad Pro" w:hAnsi="Myriad Pro"/>
          <w:sz w:val="20"/>
        </w:rPr>
        <w:t xml:space="preserve"> </w:t>
      </w:r>
      <w:r>
        <w:rPr>
          <w:rFonts w:ascii="Myriad Pro" w:hAnsi="Myriad Pro"/>
          <w:sz w:val="20"/>
        </w:rPr>
        <w:t>Z</w:t>
      </w:r>
      <w:r w:rsidR="00FF4B94">
        <w:rPr>
          <w:rFonts w:ascii="Myriad Pro" w:hAnsi="Myriad Pro"/>
          <w:sz w:val="20"/>
        </w:rPr>
        <w:t>a</w:t>
      </w:r>
      <w:r>
        <w:rPr>
          <w:rFonts w:ascii="Myriad Pro" w:hAnsi="Myriad Pro"/>
          <w:sz w:val="20"/>
        </w:rPr>
        <w:t xml:space="preserve">dolženost so zmanjšale družbe vseh treh oddelkov, </w:t>
      </w:r>
      <w:r w:rsidRPr="00127982">
        <w:rPr>
          <w:rFonts w:ascii="Myriad Pro" w:hAnsi="Myriad Pro"/>
          <w:sz w:val="20"/>
        </w:rPr>
        <w:t>najbolj zadolžene med vsemi tremi panogami</w:t>
      </w:r>
      <w:r>
        <w:rPr>
          <w:rFonts w:ascii="Myriad Pro" w:hAnsi="Myriad Pro"/>
          <w:sz w:val="20"/>
        </w:rPr>
        <w:t xml:space="preserve"> pa so ostale družbe v trgovini z motornimi vozili.</w:t>
      </w:r>
      <w:r w:rsidRPr="00127982">
        <w:rPr>
          <w:rFonts w:ascii="Myriad Pro" w:hAnsi="Myriad Pro"/>
          <w:sz w:val="20"/>
        </w:rPr>
        <w:t xml:space="preserve"> </w:t>
      </w:r>
    </w:p>
    <w:p w14:paraId="27E134D8" w14:textId="77777777" w:rsidR="00623103" w:rsidRPr="00127982" w:rsidRDefault="00623103" w:rsidP="00623103">
      <w:pPr>
        <w:spacing w:after="0" w:line="288" w:lineRule="auto"/>
        <w:jc w:val="both"/>
        <w:rPr>
          <w:rFonts w:ascii="Myriad Pro" w:hAnsi="Myriad Pro"/>
          <w:sz w:val="20"/>
        </w:rPr>
      </w:pPr>
    </w:p>
    <w:p w14:paraId="05B4F859" w14:textId="350E7E9E" w:rsidR="00623103" w:rsidRPr="00127982" w:rsidRDefault="00623103" w:rsidP="00623103">
      <w:pPr>
        <w:keepNext/>
        <w:keepLines/>
        <w:tabs>
          <w:tab w:val="right" w:leader="dot" w:pos="9070"/>
        </w:tabs>
        <w:spacing w:before="240" w:after="60" w:line="288" w:lineRule="auto"/>
        <w:contextualSpacing/>
        <w:jc w:val="both"/>
        <w:rPr>
          <w:rFonts w:ascii="Myriad Pro" w:hAnsi="Myriad Pro"/>
          <w:b/>
          <w:bCs/>
          <w:noProof/>
          <w:sz w:val="20"/>
          <w:szCs w:val="20"/>
        </w:rPr>
      </w:pPr>
      <w:r w:rsidRPr="00127982">
        <w:rPr>
          <w:rFonts w:ascii="Myriad Pro" w:hAnsi="Myriad Pro"/>
          <w:b/>
          <w:bCs/>
          <w:noProof/>
          <w:sz w:val="20"/>
          <w:szCs w:val="20"/>
        </w:rPr>
        <w:t xml:space="preserve">Slika </w:t>
      </w:r>
      <w:r w:rsidRPr="00127982">
        <w:rPr>
          <w:rFonts w:ascii="Myriad Pro" w:hAnsi="Myriad Pro"/>
          <w:b/>
          <w:bCs/>
          <w:noProof/>
          <w:sz w:val="20"/>
          <w:szCs w:val="20"/>
        </w:rPr>
        <w:fldChar w:fldCharType="begin"/>
      </w:r>
      <w:r w:rsidRPr="00127982">
        <w:rPr>
          <w:rFonts w:ascii="Myriad Pro" w:hAnsi="Myriad Pro"/>
          <w:b/>
          <w:bCs/>
          <w:noProof/>
          <w:sz w:val="20"/>
          <w:szCs w:val="20"/>
        </w:rPr>
        <w:instrText xml:space="preserve"> SEQ Slika \* ARABIC </w:instrText>
      </w:r>
      <w:r w:rsidRPr="00127982">
        <w:rPr>
          <w:rFonts w:ascii="Myriad Pro" w:hAnsi="Myriad Pro"/>
          <w:b/>
          <w:bCs/>
          <w:noProof/>
          <w:sz w:val="20"/>
          <w:szCs w:val="20"/>
        </w:rPr>
        <w:fldChar w:fldCharType="separate"/>
      </w:r>
      <w:r w:rsidR="00FF4B94">
        <w:rPr>
          <w:rFonts w:ascii="Myriad Pro" w:hAnsi="Myriad Pro"/>
          <w:b/>
          <w:bCs/>
          <w:noProof/>
          <w:sz w:val="20"/>
          <w:szCs w:val="20"/>
        </w:rPr>
        <w:t>7</w:t>
      </w:r>
      <w:r w:rsidRPr="00127982">
        <w:rPr>
          <w:rFonts w:ascii="Myriad Pro" w:hAnsi="Myriad Pro"/>
          <w:b/>
          <w:bCs/>
          <w:noProof/>
          <w:sz w:val="20"/>
          <w:szCs w:val="20"/>
        </w:rPr>
        <w:fldChar w:fldCharType="end"/>
      </w:r>
      <w:r w:rsidRPr="00127982">
        <w:rPr>
          <w:rFonts w:ascii="Myriad Pro" w:hAnsi="Myriad Pro"/>
          <w:b/>
          <w:bCs/>
          <w:noProof/>
          <w:sz w:val="20"/>
          <w:szCs w:val="20"/>
        </w:rPr>
        <w:t xml:space="preserve">: </w:t>
      </w:r>
      <w:r w:rsidRPr="00EE3759">
        <w:rPr>
          <w:rFonts w:ascii="Myriad Pro" w:hAnsi="Myriad Pro"/>
          <w:b/>
          <w:bCs/>
          <w:noProof/>
          <w:sz w:val="20"/>
          <w:szCs w:val="20"/>
        </w:rPr>
        <w:t xml:space="preserve">V </w:t>
      </w:r>
      <w:r w:rsidRPr="00C8314D">
        <w:rPr>
          <w:rFonts w:ascii="Myriad Pro" w:hAnsi="Myriad Pro"/>
          <w:b/>
          <w:bCs/>
          <w:noProof/>
          <w:sz w:val="20"/>
          <w:szCs w:val="20"/>
        </w:rPr>
        <w:t>letu 2023 so najbolj zadolžene</w:t>
      </w:r>
      <w:r w:rsidRPr="00127982">
        <w:rPr>
          <w:rFonts w:ascii="Myriad Pro" w:hAnsi="Myriad Pro"/>
          <w:b/>
          <w:bCs/>
          <w:noProof/>
          <w:sz w:val="20"/>
          <w:szCs w:val="20"/>
        </w:rPr>
        <w:t xml:space="preserve"> </w:t>
      </w:r>
      <w:r>
        <w:rPr>
          <w:rFonts w:ascii="Myriad Pro" w:hAnsi="Myriad Pro"/>
          <w:b/>
          <w:bCs/>
          <w:noProof/>
          <w:sz w:val="20"/>
          <w:szCs w:val="20"/>
        </w:rPr>
        <w:t>ostale</w:t>
      </w:r>
      <w:r w:rsidRPr="00127982">
        <w:rPr>
          <w:rFonts w:ascii="Myriad Pro" w:hAnsi="Myriad Pro"/>
          <w:b/>
          <w:bCs/>
          <w:noProof/>
          <w:sz w:val="20"/>
          <w:szCs w:val="20"/>
        </w:rPr>
        <w:t xml:space="preserve"> družbe v trgovini z motornimi vozili </w:t>
      </w:r>
    </w:p>
    <w:p w14:paraId="0AA81273" w14:textId="1CC57785" w:rsidR="00623103" w:rsidRPr="00127982" w:rsidRDefault="002407A0" w:rsidP="00623103">
      <w:pPr>
        <w:spacing w:after="0" w:line="288" w:lineRule="auto"/>
        <w:jc w:val="both"/>
        <w:rPr>
          <w:rFonts w:ascii="Myriad Pro" w:hAnsi="Myriad Pro"/>
          <w:sz w:val="20"/>
        </w:rPr>
      </w:pPr>
      <w:r>
        <w:rPr>
          <w:rFonts w:ascii="Myriad Pro" w:hAnsi="Myriad Pro"/>
          <w:noProof/>
          <w:sz w:val="20"/>
          <w14:ligatures w14:val="none"/>
        </w:rPr>
        <w:drawing>
          <wp:inline distT="0" distB="0" distL="0" distR="0" wp14:anchorId="5E86F66B" wp14:editId="4825CF3B">
            <wp:extent cx="5759450" cy="2094230"/>
            <wp:effectExtent l="0" t="0" r="0" b="1270"/>
            <wp:docPr id="10" name="Picture 10" descr="A screenshot of a dn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dna tes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9450" cy="2094230"/>
                    </a:xfrm>
                    <a:prstGeom prst="rect">
                      <a:avLst/>
                    </a:prstGeom>
                  </pic:spPr>
                </pic:pic>
              </a:graphicData>
            </a:graphic>
          </wp:inline>
        </w:drawing>
      </w:r>
    </w:p>
    <w:p w14:paraId="60745B88" w14:textId="6CD88E61" w:rsidR="00623103" w:rsidRDefault="00623103" w:rsidP="00623103">
      <w:pPr>
        <w:spacing w:before="40" w:after="0" w:line="240" w:lineRule="auto"/>
        <w:jc w:val="both"/>
        <w:rPr>
          <w:rFonts w:ascii="Myriad Pro" w:hAnsi="Myriad Pro"/>
          <w:sz w:val="16"/>
        </w:rPr>
      </w:pPr>
      <w:r w:rsidRPr="00127982">
        <w:rPr>
          <w:rFonts w:ascii="Myriad Pro" w:hAnsi="Myriad Pro"/>
          <w:sz w:val="16"/>
        </w:rPr>
        <w:t xml:space="preserve">Vir podatkov: </w:t>
      </w:r>
      <w:r w:rsidRPr="00127982">
        <w:rPr>
          <w:rFonts w:ascii="Myriad Pro" w:hAnsi="Myriad Pro"/>
          <w:sz w:val="16"/>
        </w:rPr>
        <w:fldChar w:fldCharType="begin"/>
      </w:r>
      <w:r>
        <w:rPr>
          <w:rFonts w:ascii="Myriad Pro" w:hAnsi="Myriad Pro"/>
          <w:sz w:val="16"/>
        </w:rPr>
        <w:instrText xml:space="preserve"> ADDIN ZOTERO_ITEM CSL_CITATION {"citationID":"seTQudaR","properties":{"formattedCitation":"(AJPES, 2024)","plainCitation":"(AJPES, 2024)","noteIndex":0},"citationItems":[{"id":3,"uris":["http://zotero.org/users/8372339/items/IC2SCV5C",["http://zotero.org/users/8372339/items/IC2SCV5C"]],"itemData":{"id":3,"type":"report","event-place":"Ljubljana","publisher":"Agencija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rsidRPr="00127982">
        <w:rPr>
          <w:rFonts w:ascii="Myriad Pro" w:hAnsi="Myriad Pro"/>
          <w:sz w:val="16"/>
        </w:rPr>
        <w:fldChar w:fldCharType="separate"/>
      </w:r>
      <w:r w:rsidRPr="00317ED8">
        <w:rPr>
          <w:rFonts w:ascii="Myriad Pro" w:hAnsi="Myriad Pro"/>
          <w:sz w:val="16"/>
        </w:rPr>
        <w:t>AJPES</w:t>
      </w:r>
      <w:r>
        <w:rPr>
          <w:rFonts w:ascii="Myriad Pro" w:hAnsi="Myriad Pro"/>
          <w:sz w:val="16"/>
        </w:rPr>
        <w:t xml:space="preserve"> (</w:t>
      </w:r>
      <w:r w:rsidRPr="00317ED8">
        <w:rPr>
          <w:rFonts w:ascii="Myriad Pro" w:hAnsi="Myriad Pro"/>
          <w:sz w:val="16"/>
        </w:rPr>
        <w:t>2024)</w:t>
      </w:r>
      <w:r w:rsidRPr="00127982">
        <w:rPr>
          <w:rFonts w:ascii="Myriad Pro" w:hAnsi="Myriad Pro"/>
          <w:sz w:val="16"/>
        </w:rPr>
        <w:fldChar w:fldCharType="end"/>
      </w:r>
      <w:r w:rsidRPr="00127982">
        <w:rPr>
          <w:rFonts w:ascii="Myriad Pro" w:hAnsi="Myriad Pro"/>
          <w:sz w:val="16"/>
        </w:rPr>
        <w:t>, lastni izračuni.</w:t>
      </w:r>
    </w:p>
    <w:p w14:paraId="2C523A0B" w14:textId="77777777" w:rsidR="005243C4" w:rsidRPr="00127982" w:rsidRDefault="005243C4" w:rsidP="00623103">
      <w:pPr>
        <w:spacing w:before="40" w:after="0" w:line="240" w:lineRule="auto"/>
        <w:jc w:val="both"/>
        <w:rPr>
          <w:rFonts w:ascii="Myriad Pro" w:hAnsi="Myriad Pro"/>
          <w:sz w:val="16"/>
        </w:rPr>
      </w:pPr>
    </w:p>
    <w:p w14:paraId="591984EA" w14:textId="5049D703" w:rsidR="00907348" w:rsidRDefault="00907348" w:rsidP="00907348">
      <w:pPr>
        <w:pStyle w:val="Naslov2"/>
      </w:pPr>
      <w:bookmarkStart w:id="20" w:name="_Toc170819230"/>
      <w:r w:rsidRPr="00907348">
        <w:t>Trgovina z motornimi vozili in njihovimi popravili</w:t>
      </w:r>
      <w:bookmarkEnd w:id="20"/>
    </w:p>
    <w:p w14:paraId="1D86FF11" w14:textId="67293585" w:rsidR="00440058" w:rsidRDefault="00440058" w:rsidP="00440058">
      <w:pPr>
        <w:spacing w:after="0" w:line="288" w:lineRule="auto"/>
        <w:jc w:val="both"/>
        <w:rPr>
          <w:rFonts w:ascii="Myriad Pro" w:hAnsi="Myriad Pro"/>
          <w:sz w:val="20"/>
        </w:rPr>
      </w:pPr>
      <w:r w:rsidRPr="005D3BD4">
        <w:rPr>
          <w:rFonts w:ascii="Myriad Pro" w:hAnsi="Myriad Pro"/>
          <w:b/>
          <w:sz w:val="20"/>
        </w:rPr>
        <w:t>Neto čisti dobiček</w:t>
      </w:r>
      <w:r w:rsidRPr="00127982">
        <w:rPr>
          <w:rFonts w:ascii="Myriad Pro" w:hAnsi="Myriad Pro"/>
          <w:b/>
          <w:sz w:val="20"/>
        </w:rPr>
        <w:t xml:space="preserve"> poslovnega leta v družbah trgovine z motornimi vozili se je po zmanjšanju leta 2020 v naslednjih </w:t>
      </w:r>
      <w:r w:rsidR="00794301">
        <w:rPr>
          <w:rFonts w:ascii="Myriad Pro" w:hAnsi="Myriad Pro"/>
          <w:b/>
          <w:sz w:val="20"/>
        </w:rPr>
        <w:t>treh</w:t>
      </w:r>
      <w:r w:rsidRPr="00127982">
        <w:rPr>
          <w:rFonts w:ascii="Myriad Pro" w:hAnsi="Myriad Pro"/>
          <w:b/>
          <w:sz w:val="20"/>
        </w:rPr>
        <w:t xml:space="preserve"> letih močneje okrepil.</w:t>
      </w:r>
      <w:r w:rsidRPr="00127982">
        <w:rPr>
          <w:rFonts w:ascii="Myriad Pro" w:hAnsi="Myriad Pro"/>
          <w:sz w:val="20"/>
        </w:rPr>
        <w:t xml:space="preserve"> </w:t>
      </w:r>
      <w:r w:rsidRPr="00127982">
        <w:rPr>
          <w:rFonts w:ascii="Myriad Pro" w:hAnsi="Myriad Pro"/>
          <w:i/>
          <w:iCs/>
          <w:sz w:val="20"/>
        </w:rPr>
        <w:t>Neto dobiček iz poslovanja</w:t>
      </w:r>
      <w:r w:rsidR="00B20CE5">
        <w:rPr>
          <w:rFonts w:ascii="Myriad Pro" w:hAnsi="Myriad Pro"/>
          <w:i/>
          <w:iCs/>
          <w:sz w:val="20"/>
        </w:rPr>
        <w:t xml:space="preserve">, </w:t>
      </w:r>
      <w:r w:rsidR="00B20CE5">
        <w:rPr>
          <w:rFonts w:ascii="Myriad Pro" w:hAnsi="Myriad Pro"/>
          <w:sz w:val="20"/>
        </w:rPr>
        <w:t>ki</w:t>
      </w:r>
      <w:r w:rsidRPr="00127982">
        <w:rPr>
          <w:rFonts w:ascii="Myriad Pro" w:hAnsi="Myriad Pro"/>
          <w:sz w:val="20"/>
        </w:rPr>
        <w:t xml:space="preserve"> je bil leta 202</w:t>
      </w:r>
      <w:r w:rsidR="00B20CE5">
        <w:rPr>
          <w:rFonts w:ascii="Myriad Pro" w:hAnsi="Myriad Pro"/>
          <w:sz w:val="20"/>
        </w:rPr>
        <w:t>2</w:t>
      </w:r>
      <w:r w:rsidRPr="00127982">
        <w:rPr>
          <w:rFonts w:ascii="Myriad Pro" w:hAnsi="Myriad Pro"/>
          <w:sz w:val="20"/>
        </w:rPr>
        <w:t xml:space="preserve"> enkrat večji kot leta 2019</w:t>
      </w:r>
      <w:r w:rsidR="00B20CE5">
        <w:rPr>
          <w:rFonts w:ascii="Myriad Pro" w:hAnsi="Myriad Pro"/>
          <w:sz w:val="20"/>
        </w:rPr>
        <w:t>, se je leta 2023 povečal še za dobro desetino</w:t>
      </w:r>
      <w:r w:rsidRPr="00127982">
        <w:rPr>
          <w:rFonts w:ascii="Myriad Pro" w:hAnsi="Myriad Pro"/>
          <w:sz w:val="20"/>
        </w:rPr>
        <w:t xml:space="preserve">. </w:t>
      </w:r>
      <w:r w:rsidR="008916EA">
        <w:rPr>
          <w:rFonts w:ascii="Myriad Pro" w:hAnsi="Myriad Pro"/>
          <w:sz w:val="20"/>
        </w:rPr>
        <w:t xml:space="preserve">Po tem ko se je </w:t>
      </w:r>
      <w:r w:rsidR="008916EA" w:rsidRPr="00127982">
        <w:rPr>
          <w:rFonts w:ascii="Myriad Pro" w:hAnsi="Myriad Pro"/>
          <w:sz w:val="20"/>
        </w:rPr>
        <w:t>v zadnjih letih</w:t>
      </w:r>
      <w:r w:rsidR="008916EA">
        <w:rPr>
          <w:rFonts w:ascii="Myriad Pro" w:hAnsi="Myriad Pro"/>
          <w:sz w:val="20"/>
        </w:rPr>
        <w:t xml:space="preserve"> </w:t>
      </w:r>
      <w:r w:rsidR="008916EA" w:rsidRPr="00127982">
        <w:rPr>
          <w:rFonts w:ascii="Myriad Pro" w:hAnsi="Myriad Pro"/>
          <w:sz w:val="20"/>
        </w:rPr>
        <w:t>močneje okrepila prodaja rabljenih avtov</w:t>
      </w:r>
      <w:r w:rsidR="008916EA">
        <w:rPr>
          <w:rFonts w:ascii="Myriad Pro" w:hAnsi="Myriad Pro"/>
          <w:sz w:val="20"/>
        </w:rPr>
        <w:t>, se je v letu 2023 okrepila tudi p</w:t>
      </w:r>
      <w:r w:rsidRPr="00127982">
        <w:rPr>
          <w:rFonts w:ascii="Myriad Pro" w:hAnsi="Myriad Pro"/>
          <w:sz w:val="20"/>
        </w:rPr>
        <w:t>rodaja novih osebnih avtomobilov</w:t>
      </w:r>
      <w:r w:rsidR="008916EA">
        <w:rPr>
          <w:rFonts w:ascii="Myriad Pro" w:hAnsi="Myriad Pro"/>
          <w:sz w:val="20"/>
        </w:rPr>
        <w:t>.</w:t>
      </w:r>
      <w:r w:rsidR="00B20CE5" w:rsidRPr="00127982">
        <w:rPr>
          <w:rFonts w:ascii="Myriad Pro" w:hAnsi="Myriad Pro"/>
          <w:sz w:val="20"/>
          <w:vertAlign w:val="superscript"/>
        </w:rPr>
        <w:footnoteReference w:id="6"/>
      </w:r>
      <w:r w:rsidR="00B20CE5">
        <w:rPr>
          <w:rFonts w:ascii="Myriad Pro" w:hAnsi="Myriad Pro"/>
          <w:sz w:val="20"/>
        </w:rPr>
        <w:t xml:space="preserve"> </w:t>
      </w:r>
      <w:r w:rsidRPr="00127982">
        <w:rPr>
          <w:rFonts w:ascii="Myriad Pro" w:hAnsi="Myriad Pro"/>
          <w:sz w:val="20"/>
        </w:rPr>
        <w:t xml:space="preserve">Prodaja se je v </w:t>
      </w:r>
      <w:r w:rsidR="008916EA">
        <w:rPr>
          <w:rFonts w:ascii="Myriad Pro" w:hAnsi="Myriad Pro"/>
          <w:sz w:val="20"/>
        </w:rPr>
        <w:t>obdobju</w:t>
      </w:r>
      <w:r w:rsidRPr="00127982">
        <w:rPr>
          <w:rFonts w:ascii="Myriad Pro" w:hAnsi="Myriad Pro"/>
          <w:sz w:val="20"/>
        </w:rPr>
        <w:t xml:space="preserve"> </w:t>
      </w:r>
      <w:r w:rsidR="008916EA" w:rsidRPr="008916EA">
        <w:rPr>
          <w:rFonts w:ascii="Myriad Pro" w:hAnsi="Myriad Pro"/>
          <w:sz w:val="20"/>
        </w:rPr>
        <w:t>202</w:t>
      </w:r>
      <w:r w:rsidR="008916EA">
        <w:rPr>
          <w:rFonts w:ascii="Myriad Pro" w:hAnsi="Myriad Pro"/>
          <w:sz w:val="20"/>
        </w:rPr>
        <w:t>1</w:t>
      </w:r>
      <w:r w:rsidR="008916EA" w:rsidRPr="008916EA">
        <w:rPr>
          <w:rFonts w:ascii="Myriad Pro" w:hAnsi="Myriad Pro"/>
          <w:sz w:val="20"/>
        </w:rPr>
        <w:softHyphen/>
        <w:t>–202</w:t>
      </w:r>
      <w:r w:rsidR="008916EA">
        <w:rPr>
          <w:rFonts w:ascii="Myriad Pro" w:hAnsi="Myriad Pro"/>
          <w:sz w:val="20"/>
        </w:rPr>
        <w:t xml:space="preserve">3 </w:t>
      </w:r>
      <w:r w:rsidRPr="00127982">
        <w:rPr>
          <w:rFonts w:ascii="Myriad Pro" w:hAnsi="Myriad Pro"/>
          <w:sz w:val="20"/>
        </w:rPr>
        <w:t xml:space="preserve">močno povečala na domačem trgu, kjer se je v letu 2020 tudi najbolj zmanjšala, </w:t>
      </w:r>
      <w:r w:rsidR="00567C40">
        <w:rPr>
          <w:rFonts w:ascii="Myriad Pro" w:hAnsi="Myriad Pro"/>
          <w:sz w:val="20"/>
        </w:rPr>
        <w:t>tako da se je</w:t>
      </w:r>
      <w:r w:rsidRPr="00127982">
        <w:rPr>
          <w:rFonts w:ascii="Myriad Pro" w:hAnsi="Myriad Pro"/>
          <w:sz w:val="20"/>
        </w:rPr>
        <w:t xml:space="preserve"> izvozn</w:t>
      </w:r>
      <w:r w:rsidR="00567C40">
        <w:rPr>
          <w:rFonts w:ascii="Myriad Pro" w:hAnsi="Myriad Pro"/>
          <w:sz w:val="20"/>
        </w:rPr>
        <w:t>a</w:t>
      </w:r>
      <w:r w:rsidRPr="00127982">
        <w:rPr>
          <w:rFonts w:ascii="Myriad Pro" w:hAnsi="Myriad Pro"/>
          <w:sz w:val="20"/>
        </w:rPr>
        <w:t xml:space="preserve"> usmerjenost družb te panoge</w:t>
      </w:r>
      <w:r w:rsidR="00567C40">
        <w:rPr>
          <w:rFonts w:ascii="Myriad Pro" w:hAnsi="Myriad Pro"/>
          <w:sz w:val="20"/>
        </w:rPr>
        <w:t xml:space="preserve"> </w:t>
      </w:r>
      <w:r w:rsidR="005D3BD4">
        <w:rPr>
          <w:rFonts w:ascii="Myriad Pro" w:hAnsi="Myriad Pro"/>
          <w:sz w:val="20"/>
        </w:rPr>
        <w:t>močno</w:t>
      </w:r>
      <w:r w:rsidR="00567C40">
        <w:rPr>
          <w:rFonts w:ascii="Myriad Pro" w:hAnsi="Myriad Pro"/>
          <w:sz w:val="20"/>
        </w:rPr>
        <w:t xml:space="preserve"> zmanjšala</w:t>
      </w:r>
      <w:r w:rsidRPr="00127982">
        <w:rPr>
          <w:rFonts w:ascii="Myriad Pro" w:hAnsi="Myriad Pro"/>
          <w:sz w:val="20"/>
        </w:rPr>
        <w:t>. Po poslabšanju v letu 2020 (ko so družbe poslovale z izgubo iz financiranja</w:t>
      </w:r>
      <w:r w:rsidRPr="00127982">
        <w:rPr>
          <w:rFonts w:ascii="Myriad Pro" w:hAnsi="Myriad Pro"/>
          <w:iCs/>
          <w:sz w:val="20"/>
        </w:rPr>
        <w:t xml:space="preserve"> v višini 5,2 </w:t>
      </w:r>
      <w:r w:rsidRPr="00127982">
        <w:rPr>
          <w:rFonts w:ascii="Myriad Pro" w:hAnsi="Myriad Pro"/>
          <w:sz w:val="20"/>
        </w:rPr>
        <w:t xml:space="preserve">mio evrov) in močnem izboljšanju v letu 2021 (ko so družbe poslovale z dobičkom iz financiranja v višini 14,9 mio evrov), se je </w:t>
      </w:r>
      <w:r w:rsidR="00567C40">
        <w:rPr>
          <w:rFonts w:ascii="Myriad Pro" w:hAnsi="Myriad Pro"/>
          <w:sz w:val="20"/>
        </w:rPr>
        <w:t xml:space="preserve">v letih 2022 in 2023 </w:t>
      </w:r>
      <w:r w:rsidRPr="00127982">
        <w:rPr>
          <w:rFonts w:ascii="Myriad Pro" w:hAnsi="Myriad Pro"/>
          <w:sz w:val="20"/>
        </w:rPr>
        <w:t xml:space="preserve">finančno poslovanje spet poslabšalo. </w:t>
      </w:r>
      <w:r w:rsidR="005D3BD4">
        <w:rPr>
          <w:rFonts w:ascii="Myriad Pro" w:hAnsi="Myriad Pro"/>
          <w:sz w:val="20"/>
        </w:rPr>
        <w:lastRenderedPageBreak/>
        <w:t>D</w:t>
      </w:r>
      <w:r w:rsidRPr="00127982">
        <w:rPr>
          <w:rFonts w:ascii="Myriad Pro" w:hAnsi="Myriad Pro"/>
          <w:sz w:val="20"/>
        </w:rPr>
        <w:t xml:space="preserve">ružbe </w:t>
      </w:r>
      <w:r w:rsidR="005D3BD4">
        <w:rPr>
          <w:rFonts w:ascii="Myriad Pro" w:hAnsi="Myriad Pro"/>
          <w:sz w:val="20"/>
        </w:rPr>
        <w:t xml:space="preserve">so </w:t>
      </w:r>
      <w:r w:rsidR="000858E4">
        <w:rPr>
          <w:rFonts w:ascii="Myriad Pro" w:hAnsi="Myriad Pro"/>
          <w:sz w:val="20"/>
        </w:rPr>
        <w:t xml:space="preserve">tako </w:t>
      </w:r>
      <w:r w:rsidRPr="00127982">
        <w:rPr>
          <w:rFonts w:ascii="Myriad Pro" w:hAnsi="Myriad Pro"/>
          <w:sz w:val="20"/>
        </w:rPr>
        <w:t>leto 202</w:t>
      </w:r>
      <w:r w:rsidR="00567C40">
        <w:rPr>
          <w:rFonts w:ascii="Myriad Pro" w:hAnsi="Myriad Pro"/>
          <w:sz w:val="20"/>
        </w:rPr>
        <w:t>3</w:t>
      </w:r>
      <w:r w:rsidRPr="00127982">
        <w:rPr>
          <w:rFonts w:ascii="Myriad Pro" w:hAnsi="Myriad Pro"/>
          <w:sz w:val="20"/>
        </w:rPr>
        <w:t xml:space="preserve"> zaključile z </w:t>
      </w:r>
      <w:r w:rsidRPr="00127982">
        <w:rPr>
          <w:rFonts w:ascii="Myriad Pro" w:hAnsi="Myriad Pro"/>
          <w:i/>
          <w:iCs/>
          <w:sz w:val="20"/>
        </w:rPr>
        <w:t xml:space="preserve">neto finančno izgubo </w:t>
      </w:r>
      <w:r w:rsidRPr="00127982">
        <w:rPr>
          <w:rFonts w:ascii="Myriad Pro" w:hAnsi="Myriad Pro"/>
          <w:iCs/>
          <w:sz w:val="20"/>
        </w:rPr>
        <w:t xml:space="preserve">v višini </w:t>
      </w:r>
      <w:r w:rsidR="00567C40">
        <w:rPr>
          <w:rFonts w:ascii="Myriad Pro" w:hAnsi="Myriad Pro"/>
          <w:iCs/>
          <w:sz w:val="20"/>
        </w:rPr>
        <w:t>3,5</w:t>
      </w:r>
      <w:r w:rsidRPr="00127982">
        <w:rPr>
          <w:rFonts w:ascii="Myriad Pro" w:hAnsi="Myriad Pro"/>
          <w:i/>
          <w:iCs/>
          <w:sz w:val="20"/>
        </w:rPr>
        <w:t xml:space="preserve"> </w:t>
      </w:r>
      <w:r w:rsidRPr="00127982">
        <w:rPr>
          <w:rFonts w:ascii="Myriad Pro" w:hAnsi="Myriad Pro"/>
          <w:sz w:val="20"/>
        </w:rPr>
        <w:t xml:space="preserve">mio evrov in </w:t>
      </w:r>
      <w:r w:rsidRPr="00127982">
        <w:rPr>
          <w:rFonts w:ascii="Myriad Pro" w:hAnsi="Myriad Pro"/>
          <w:i/>
          <w:sz w:val="20"/>
        </w:rPr>
        <w:t>neto čistim dobičkom</w:t>
      </w:r>
      <w:r w:rsidRPr="00127982">
        <w:rPr>
          <w:rFonts w:ascii="Myriad Pro" w:hAnsi="Myriad Pro"/>
          <w:sz w:val="20"/>
        </w:rPr>
        <w:t xml:space="preserve"> poslovnega leta v višini </w:t>
      </w:r>
      <w:r w:rsidR="005D3BD4">
        <w:rPr>
          <w:rFonts w:ascii="Myriad Pro" w:hAnsi="Myriad Pro"/>
          <w:sz w:val="20"/>
        </w:rPr>
        <w:t>219,7</w:t>
      </w:r>
      <w:r w:rsidRPr="00127982">
        <w:rPr>
          <w:rFonts w:ascii="Myriad Pro" w:hAnsi="Myriad Pro"/>
          <w:sz w:val="20"/>
        </w:rPr>
        <w:t xml:space="preserve"> mio evrov (leta 202</w:t>
      </w:r>
      <w:r w:rsidR="005D3BD4">
        <w:rPr>
          <w:rFonts w:ascii="Myriad Pro" w:hAnsi="Myriad Pro"/>
          <w:sz w:val="20"/>
        </w:rPr>
        <w:t>2</w:t>
      </w:r>
      <w:r w:rsidRPr="00127982">
        <w:rPr>
          <w:rFonts w:ascii="Myriad Pro" w:hAnsi="Myriad Pro"/>
          <w:sz w:val="20"/>
        </w:rPr>
        <w:t xml:space="preserve"> pa </w:t>
      </w:r>
      <w:r w:rsidR="005D3BD4">
        <w:rPr>
          <w:rFonts w:ascii="Myriad Pro" w:hAnsi="Myriad Pro"/>
          <w:sz w:val="20"/>
        </w:rPr>
        <w:t>196,7</w:t>
      </w:r>
      <w:r w:rsidRPr="00127982">
        <w:rPr>
          <w:rFonts w:ascii="Myriad Pro" w:hAnsi="Myriad Pro"/>
          <w:sz w:val="20"/>
        </w:rPr>
        <w:t xml:space="preserve"> mio evrov).</w:t>
      </w:r>
    </w:p>
    <w:p w14:paraId="77BCB55F" w14:textId="77777777" w:rsidR="00440058" w:rsidRDefault="00440058" w:rsidP="00127982">
      <w:pPr>
        <w:keepNext/>
        <w:keepLines/>
        <w:tabs>
          <w:tab w:val="right" w:leader="dot" w:pos="9070"/>
        </w:tabs>
        <w:spacing w:before="240" w:after="60" w:line="288" w:lineRule="auto"/>
        <w:contextualSpacing/>
        <w:jc w:val="both"/>
        <w:rPr>
          <w:rFonts w:ascii="Myriad Pro" w:hAnsi="Myriad Pro"/>
          <w:b/>
          <w:bCs/>
          <w:noProof/>
          <w:sz w:val="20"/>
          <w:szCs w:val="20"/>
        </w:rPr>
      </w:pPr>
    </w:p>
    <w:p w14:paraId="492EE790" w14:textId="171766C8" w:rsidR="00127982" w:rsidRPr="00127982" w:rsidRDefault="00127982" w:rsidP="00127982">
      <w:pPr>
        <w:keepNext/>
        <w:keepLines/>
        <w:tabs>
          <w:tab w:val="right" w:leader="dot" w:pos="9070"/>
        </w:tabs>
        <w:spacing w:before="240" w:after="60" w:line="288" w:lineRule="auto"/>
        <w:contextualSpacing/>
        <w:jc w:val="both"/>
        <w:rPr>
          <w:rFonts w:ascii="Myriad Pro" w:hAnsi="Myriad Pro"/>
          <w:b/>
          <w:bCs/>
          <w:noProof/>
          <w:sz w:val="20"/>
          <w:szCs w:val="20"/>
        </w:rPr>
      </w:pPr>
      <w:r w:rsidRPr="00127982">
        <w:rPr>
          <w:rFonts w:ascii="Myriad Pro" w:hAnsi="Myriad Pro"/>
          <w:b/>
          <w:bCs/>
          <w:noProof/>
          <w:sz w:val="20"/>
          <w:szCs w:val="20"/>
        </w:rPr>
        <w:t xml:space="preserve">Slika </w:t>
      </w:r>
      <w:r w:rsidRPr="00127982">
        <w:rPr>
          <w:rFonts w:ascii="Myriad Pro" w:hAnsi="Myriad Pro"/>
          <w:b/>
          <w:bCs/>
          <w:noProof/>
          <w:sz w:val="20"/>
          <w:szCs w:val="20"/>
        </w:rPr>
        <w:fldChar w:fldCharType="begin"/>
      </w:r>
      <w:r w:rsidRPr="00127982">
        <w:rPr>
          <w:rFonts w:ascii="Myriad Pro" w:hAnsi="Myriad Pro"/>
          <w:b/>
          <w:bCs/>
          <w:noProof/>
          <w:sz w:val="20"/>
          <w:szCs w:val="20"/>
        </w:rPr>
        <w:instrText xml:space="preserve"> SEQ Slika \* ARABIC </w:instrText>
      </w:r>
      <w:r w:rsidRPr="00127982">
        <w:rPr>
          <w:rFonts w:ascii="Myriad Pro" w:hAnsi="Myriad Pro"/>
          <w:b/>
          <w:bCs/>
          <w:noProof/>
          <w:sz w:val="20"/>
          <w:szCs w:val="20"/>
        </w:rPr>
        <w:fldChar w:fldCharType="separate"/>
      </w:r>
      <w:r w:rsidR="00FF4B94">
        <w:rPr>
          <w:rFonts w:ascii="Myriad Pro" w:hAnsi="Myriad Pro"/>
          <w:b/>
          <w:bCs/>
          <w:noProof/>
          <w:sz w:val="20"/>
          <w:szCs w:val="20"/>
        </w:rPr>
        <w:t>8</w:t>
      </w:r>
      <w:r w:rsidRPr="00127982">
        <w:rPr>
          <w:rFonts w:ascii="Myriad Pro" w:hAnsi="Myriad Pro"/>
          <w:b/>
          <w:bCs/>
          <w:noProof/>
          <w:sz w:val="20"/>
          <w:szCs w:val="20"/>
        </w:rPr>
        <w:fldChar w:fldCharType="end"/>
      </w:r>
      <w:r w:rsidRPr="00127982">
        <w:rPr>
          <w:rFonts w:ascii="Myriad Pro" w:hAnsi="Myriad Pro"/>
          <w:b/>
          <w:bCs/>
          <w:noProof/>
          <w:sz w:val="20"/>
          <w:szCs w:val="20"/>
        </w:rPr>
        <w:t>: Prodaja družb v trgovini z motornimi vozili se je leta 202</w:t>
      </w:r>
      <w:r w:rsidR="000858E4">
        <w:rPr>
          <w:rFonts w:ascii="Myriad Pro" w:hAnsi="Myriad Pro"/>
          <w:b/>
          <w:bCs/>
          <w:noProof/>
          <w:sz w:val="20"/>
          <w:szCs w:val="20"/>
        </w:rPr>
        <w:t>3</w:t>
      </w:r>
      <w:r w:rsidRPr="00127982">
        <w:rPr>
          <w:rFonts w:ascii="Myriad Pro" w:hAnsi="Myriad Pro"/>
          <w:b/>
          <w:bCs/>
          <w:noProof/>
          <w:sz w:val="20"/>
          <w:szCs w:val="20"/>
        </w:rPr>
        <w:t xml:space="preserve"> še okrepila na domačem trgu</w:t>
      </w:r>
    </w:p>
    <w:p w14:paraId="27765721" w14:textId="780EC3DE" w:rsidR="00127982" w:rsidRPr="00127982" w:rsidRDefault="002D75FF" w:rsidP="00127982">
      <w:pPr>
        <w:keepNext/>
        <w:keepLines/>
        <w:tabs>
          <w:tab w:val="right" w:leader="dot" w:pos="9070"/>
        </w:tabs>
        <w:spacing w:before="240" w:after="60" w:line="288" w:lineRule="auto"/>
        <w:contextualSpacing/>
        <w:jc w:val="both"/>
        <w:rPr>
          <w:rFonts w:ascii="Myriad Pro" w:hAnsi="Myriad Pro"/>
          <w:b/>
          <w:bCs/>
          <w:noProof/>
          <w:sz w:val="20"/>
          <w:szCs w:val="20"/>
        </w:rPr>
      </w:pPr>
      <w:r w:rsidRPr="002D75FF">
        <w:rPr>
          <w:noProof/>
        </w:rPr>
        <w:drawing>
          <wp:inline distT="0" distB="0" distL="0" distR="0" wp14:anchorId="01EA2553" wp14:editId="70869B94">
            <wp:extent cx="5759450" cy="2095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2095500"/>
                    </a:xfrm>
                    <a:prstGeom prst="rect">
                      <a:avLst/>
                    </a:prstGeom>
                    <a:noFill/>
                    <a:ln>
                      <a:noFill/>
                    </a:ln>
                  </pic:spPr>
                </pic:pic>
              </a:graphicData>
            </a:graphic>
          </wp:inline>
        </w:drawing>
      </w:r>
      <w:r w:rsidR="00127982" w:rsidRPr="00127982">
        <w:rPr>
          <w:rFonts w:ascii="Myriad Pro" w:hAnsi="Myriad Pro"/>
          <w:b/>
          <w:bCs/>
          <w:noProof/>
          <w:sz w:val="20"/>
          <w:szCs w:val="20"/>
        </w:rPr>
        <w:t xml:space="preserve"> </w:t>
      </w:r>
    </w:p>
    <w:p w14:paraId="01F96256" w14:textId="223531A7" w:rsidR="00127982" w:rsidRDefault="00127982" w:rsidP="00127982">
      <w:pPr>
        <w:spacing w:before="40" w:after="0" w:line="240" w:lineRule="auto"/>
        <w:jc w:val="both"/>
        <w:rPr>
          <w:rFonts w:ascii="Myriad Pro" w:hAnsi="Myriad Pro"/>
          <w:sz w:val="16"/>
        </w:rPr>
      </w:pPr>
      <w:r w:rsidRPr="00127982">
        <w:rPr>
          <w:rFonts w:ascii="Myriad Pro" w:hAnsi="Myriad Pro"/>
          <w:sz w:val="16"/>
        </w:rPr>
        <w:t xml:space="preserve">Vir podatkov: </w:t>
      </w:r>
      <w:r w:rsidRPr="00127982">
        <w:rPr>
          <w:rFonts w:ascii="Myriad Pro" w:hAnsi="Myriad Pro"/>
          <w:sz w:val="16"/>
        </w:rPr>
        <w:fldChar w:fldCharType="begin"/>
      </w:r>
      <w:r w:rsidR="00317ED8">
        <w:rPr>
          <w:rFonts w:ascii="Myriad Pro" w:hAnsi="Myriad Pro"/>
          <w:sz w:val="16"/>
        </w:rPr>
        <w:instrText xml:space="preserve"> ADDIN ZOTERO_ITEM CSL_CITATION {"citationID":"b3mfCgts","properties":{"formattedCitation":"(AJPES, 2024)","plainCitation":"(AJPES, 2024)","noteIndex":0},"citationItems":[{"id":3,"uris":["http://zotero.org/users/8372339/items/IC2SCV5C",["http://zotero.org/users/8372339/items/IC2SCV5C"]],"itemData":{"id":3,"type":"report","event-place":"Ljubljana","publisher":"Agencija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rsidRPr="00127982">
        <w:rPr>
          <w:rFonts w:ascii="Myriad Pro" w:hAnsi="Myriad Pro"/>
          <w:sz w:val="16"/>
        </w:rPr>
        <w:fldChar w:fldCharType="separate"/>
      </w:r>
      <w:r w:rsidR="00317ED8" w:rsidRPr="00317ED8">
        <w:rPr>
          <w:rFonts w:ascii="Myriad Pro" w:hAnsi="Myriad Pro"/>
          <w:sz w:val="16"/>
        </w:rPr>
        <w:t xml:space="preserve">AJPES </w:t>
      </w:r>
      <w:r w:rsidR="00317ED8">
        <w:rPr>
          <w:rFonts w:ascii="Myriad Pro" w:hAnsi="Myriad Pro"/>
          <w:sz w:val="16"/>
        </w:rPr>
        <w:t>(</w:t>
      </w:r>
      <w:r w:rsidR="00317ED8" w:rsidRPr="00317ED8">
        <w:rPr>
          <w:rFonts w:ascii="Myriad Pro" w:hAnsi="Myriad Pro"/>
          <w:sz w:val="16"/>
        </w:rPr>
        <w:t>2024)</w:t>
      </w:r>
      <w:r w:rsidRPr="00127982">
        <w:rPr>
          <w:rFonts w:ascii="Myriad Pro" w:hAnsi="Myriad Pro"/>
          <w:sz w:val="16"/>
        </w:rPr>
        <w:fldChar w:fldCharType="end"/>
      </w:r>
      <w:r w:rsidRPr="00127982">
        <w:rPr>
          <w:rFonts w:ascii="Myriad Pro" w:hAnsi="Myriad Pro"/>
          <w:sz w:val="16"/>
        </w:rPr>
        <w:t>, lastni izračuni.</w:t>
      </w:r>
    </w:p>
    <w:p w14:paraId="21BC9003" w14:textId="77777777" w:rsidR="00623103" w:rsidRPr="00127982" w:rsidRDefault="00623103" w:rsidP="00127982">
      <w:pPr>
        <w:spacing w:before="40" w:after="0" w:line="240" w:lineRule="auto"/>
        <w:jc w:val="both"/>
        <w:rPr>
          <w:rFonts w:ascii="Myriad Pro" w:hAnsi="Myriad Pro"/>
          <w:sz w:val="16"/>
        </w:rPr>
      </w:pPr>
    </w:p>
    <w:p w14:paraId="068F1E82" w14:textId="21B2D411" w:rsidR="00623103" w:rsidRPr="00304305" w:rsidRDefault="00304305" w:rsidP="00304305">
      <w:pPr>
        <w:pStyle w:val="Naslov2"/>
      </w:pPr>
      <w:bookmarkStart w:id="21" w:name="_Toc170819231"/>
      <w:bookmarkStart w:id="22" w:name="_Hlk109044836"/>
      <w:r w:rsidRPr="00304305">
        <w:t>Trgovina na debelo</w:t>
      </w:r>
      <w:bookmarkEnd w:id="21"/>
    </w:p>
    <w:bookmarkEnd w:id="22"/>
    <w:p w14:paraId="68EF4D05" w14:textId="76CCF978" w:rsidR="00127982" w:rsidRDefault="00127982" w:rsidP="00127982">
      <w:pPr>
        <w:spacing w:after="0" w:line="288" w:lineRule="auto"/>
        <w:jc w:val="both"/>
        <w:rPr>
          <w:rFonts w:ascii="Myriad Pro" w:hAnsi="Myriad Pro"/>
          <w:sz w:val="20"/>
        </w:rPr>
      </w:pPr>
      <w:r w:rsidRPr="00A84238">
        <w:rPr>
          <w:rFonts w:ascii="Myriad Pro" w:hAnsi="Myriad Pro"/>
          <w:b/>
          <w:sz w:val="20"/>
        </w:rPr>
        <w:t>V družbah trgovine</w:t>
      </w:r>
      <w:r w:rsidRPr="00127982">
        <w:rPr>
          <w:rFonts w:ascii="Myriad Pro" w:hAnsi="Myriad Pro"/>
          <w:b/>
          <w:sz w:val="20"/>
        </w:rPr>
        <w:t xml:space="preserve"> na debelo se je neto čisti dobiček poslovnega leta, ki se je močno povečal med epidemijo</w:t>
      </w:r>
      <w:r w:rsidR="00EE3759">
        <w:rPr>
          <w:rFonts w:ascii="Myriad Pro" w:hAnsi="Myriad Pro"/>
          <w:b/>
          <w:sz w:val="20"/>
        </w:rPr>
        <w:t xml:space="preserve"> in</w:t>
      </w:r>
      <w:r w:rsidRPr="00127982">
        <w:rPr>
          <w:rFonts w:ascii="Myriad Pro" w:hAnsi="Myriad Pro"/>
          <w:b/>
          <w:sz w:val="20"/>
        </w:rPr>
        <w:t xml:space="preserve"> v 2022</w:t>
      </w:r>
      <w:r w:rsidR="00EE3759">
        <w:rPr>
          <w:rFonts w:ascii="Myriad Pro" w:hAnsi="Myriad Pro"/>
          <w:b/>
          <w:sz w:val="20"/>
        </w:rPr>
        <w:t xml:space="preserve">, </w:t>
      </w:r>
      <w:r w:rsidR="00AE68DC">
        <w:rPr>
          <w:rFonts w:ascii="Myriad Pro" w:hAnsi="Myriad Pro"/>
          <w:b/>
          <w:sz w:val="20"/>
        </w:rPr>
        <w:t xml:space="preserve">lani </w:t>
      </w:r>
      <w:r w:rsidRPr="00127982">
        <w:rPr>
          <w:rFonts w:ascii="Myriad Pro" w:hAnsi="Myriad Pro"/>
          <w:b/>
          <w:sz w:val="20"/>
        </w:rPr>
        <w:t xml:space="preserve">nekoliko </w:t>
      </w:r>
      <w:r w:rsidR="00EE3759">
        <w:rPr>
          <w:rFonts w:ascii="Myriad Pro" w:hAnsi="Myriad Pro"/>
          <w:b/>
          <w:sz w:val="20"/>
        </w:rPr>
        <w:t>zmanjšal</w:t>
      </w:r>
      <w:r w:rsidR="00A84238">
        <w:rPr>
          <w:rFonts w:ascii="Myriad Pro" w:hAnsi="Myriad Pro"/>
          <w:b/>
          <w:sz w:val="20"/>
        </w:rPr>
        <w:t>, kar je bila posledica slabšega finančnega poslovanja</w:t>
      </w:r>
      <w:r w:rsidRPr="00127982">
        <w:rPr>
          <w:rFonts w:ascii="Myriad Pro" w:hAnsi="Myriad Pro"/>
          <w:b/>
          <w:sz w:val="20"/>
        </w:rPr>
        <w:t>.</w:t>
      </w:r>
      <w:r w:rsidRPr="00127982">
        <w:rPr>
          <w:rFonts w:ascii="Myriad Pro" w:hAnsi="Myriad Pro"/>
          <w:sz w:val="20"/>
        </w:rPr>
        <w:t xml:space="preserve"> </w:t>
      </w:r>
      <w:r w:rsidRPr="00127982">
        <w:rPr>
          <w:rFonts w:ascii="Myriad Pro" w:hAnsi="Myriad Pro"/>
          <w:i/>
          <w:sz w:val="20"/>
        </w:rPr>
        <w:t>Neto dobiček iz poslovanja</w:t>
      </w:r>
      <w:r w:rsidRPr="00127982">
        <w:rPr>
          <w:rFonts w:ascii="Myriad Pro" w:hAnsi="Myriad Pro"/>
          <w:sz w:val="20"/>
        </w:rPr>
        <w:t xml:space="preserve"> družb oddelka posredništvo in trgovina na debelo, ki se je v letih 2012 in 2013 zmanjšal, se je v naslednjih letih do </w:t>
      </w:r>
      <w:r w:rsidR="007449E7">
        <w:rPr>
          <w:rFonts w:ascii="Myriad Pro" w:hAnsi="Myriad Pro"/>
          <w:sz w:val="20"/>
        </w:rPr>
        <w:t>lani</w:t>
      </w:r>
      <w:r w:rsidRPr="00127982">
        <w:rPr>
          <w:rFonts w:ascii="Myriad Pro" w:hAnsi="Myriad Pro"/>
          <w:sz w:val="20"/>
        </w:rPr>
        <w:t xml:space="preserve"> povečal na 89</w:t>
      </w:r>
      <w:r w:rsidR="007449E7">
        <w:rPr>
          <w:rFonts w:ascii="Myriad Pro" w:hAnsi="Myriad Pro"/>
          <w:sz w:val="20"/>
        </w:rPr>
        <w:t>1</w:t>
      </w:r>
      <w:r w:rsidRPr="00127982">
        <w:rPr>
          <w:rFonts w:ascii="Myriad Pro" w:hAnsi="Myriad Pro"/>
          <w:sz w:val="20"/>
        </w:rPr>
        <w:t>,</w:t>
      </w:r>
      <w:r w:rsidR="007449E7">
        <w:rPr>
          <w:rFonts w:ascii="Myriad Pro" w:hAnsi="Myriad Pro"/>
          <w:sz w:val="20"/>
        </w:rPr>
        <w:t>2</w:t>
      </w:r>
      <w:r w:rsidRPr="00127982">
        <w:rPr>
          <w:rFonts w:ascii="Myriad Pro" w:hAnsi="Myriad Pro"/>
          <w:sz w:val="20"/>
        </w:rPr>
        <w:t xml:space="preserve"> mio evrov. Na povečanje </w:t>
      </w:r>
      <w:r w:rsidR="003562DB">
        <w:rPr>
          <w:rFonts w:ascii="Myriad Pro" w:hAnsi="Myriad Pro"/>
          <w:sz w:val="20"/>
        </w:rPr>
        <w:t>je na začetku obdobja</w:t>
      </w:r>
      <w:r w:rsidRPr="00127982">
        <w:rPr>
          <w:rFonts w:ascii="Myriad Pro" w:hAnsi="Myriad Pro"/>
          <w:sz w:val="20"/>
        </w:rPr>
        <w:t xml:space="preserve"> močno vplivalo prenehanje poslovanja večje družbe leta 2014</w:t>
      </w:r>
      <w:r w:rsidRPr="00127982">
        <w:rPr>
          <w:rFonts w:ascii="Myriad Pro" w:hAnsi="Myriad Pro"/>
          <w:sz w:val="20"/>
          <w:vertAlign w:val="superscript"/>
        </w:rPr>
        <w:footnoteReference w:id="7"/>
      </w:r>
      <w:r w:rsidR="003562DB">
        <w:rPr>
          <w:rFonts w:ascii="Myriad Pro" w:hAnsi="Myriad Pro"/>
          <w:sz w:val="20"/>
        </w:rPr>
        <w:t xml:space="preserve"> in </w:t>
      </w:r>
      <w:r w:rsidRPr="00127982">
        <w:rPr>
          <w:rFonts w:ascii="Myriad Pro" w:hAnsi="Myriad Pro"/>
          <w:sz w:val="20"/>
        </w:rPr>
        <w:t>izboljševanje poslovnega rezultata zaradi povečanja prodaje v večini panog trgovine na debelo v letih 2015–2019</w:t>
      </w:r>
      <w:r w:rsidR="003562DB">
        <w:rPr>
          <w:rFonts w:ascii="Myriad Pro" w:hAnsi="Myriad Pro"/>
          <w:sz w:val="20"/>
        </w:rPr>
        <w:t>, kar j</w:t>
      </w:r>
      <w:r w:rsidR="003562DB" w:rsidRPr="00127982">
        <w:rPr>
          <w:rFonts w:ascii="Myriad Pro" w:hAnsi="Myriad Pro"/>
          <w:sz w:val="20"/>
        </w:rPr>
        <w:t>e bila posledica visoke proizvodne aktivnosti panog, povezanih s trgovino (predelovalne dejavnosti, promet, gradbeništvo), v letih 2017 in 2018 tudi povečanja prodaje primarnih proizvodov (goriva, kovine, rude), v letih 2017–2019 pa tudi farmacevtskih proizvodov</w:t>
      </w:r>
      <w:r w:rsidR="0076193E">
        <w:rPr>
          <w:rFonts w:ascii="Myriad Pro" w:hAnsi="Myriad Pro"/>
          <w:sz w:val="20"/>
        </w:rPr>
        <w:t>, pr</w:t>
      </w:r>
      <w:r w:rsidR="00496480">
        <w:rPr>
          <w:rFonts w:ascii="Myriad Pro" w:hAnsi="Myriad Pro"/>
          <w:sz w:val="20"/>
        </w:rPr>
        <w:t>e</w:t>
      </w:r>
      <w:r w:rsidR="0076193E">
        <w:rPr>
          <w:rFonts w:ascii="Myriad Pro" w:hAnsi="Myriad Pro"/>
          <w:sz w:val="20"/>
        </w:rPr>
        <w:t>dvsem</w:t>
      </w:r>
      <w:r w:rsidR="003562DB" w:rsidRPr="00127982">
        <w:rPr>
          <w:rFonts w:ascii="Myriad Pro" w:hAnsi="Myriad Pro"/>
          <w:sz w:val="20"/>
        </w:rPr>
        <w:t xml:space="preserve"> na trg EU.</w:t>
      </w:r>
      <w:r w:rsidR="003562DB">
        <w:rPr>
          <w:rFonts w:ascii="Myriad Pro" w:hAnsi="Myriad Pro"/>
          <w:sz w:val="20"/>
        </w:rPr>
        <w:t xml:space="preserve"> </w:t>
      </w:r>
      <w:r w:rsidR="006909AE">
        <w:rPr>
          <w:rFonts w:ascii="Myriad Pro" w:hAnsi="Myriad Pro"/>
          <w:sz w:val="20"/>
        </w:rPr>
        <w:t>V prvem obdobju epidemije, v letih 2020</w:t>
      </w:r>
      <w:r w:rsidR="00736079" w:rsidRPr="00127982">
        <w:rPr>
          <w:rFonts w:ascii="Myriad Pro" w:hAnsi="Myriad Pro"/>
          <w:sz w:val="20"/>
        </w:rPr>
        <w:t>–</w:t>
      </w:r>
      <w:r w:rsidR="006909AE">
        <w:rPr>
          <w:rFonts w:ascii="Myriad Pro" w:hAnsi="Myriad Pro"/>
          <w:sz w:val="20"/>
        </w:rPr>
        <w:t xml:space="preserve">2021, </w:t>
      </w:r>
      <w:r w:rsidRPr="00127982">
        <w:rPr>
          <w:rFonts w:ascii="Myriad Pro" w:hAnsi="Myriad Pro"/>
          <w:sz w:val="20"/>
        </w:rPr>
        <w:t>se je nadaljevala visoka rast prodaje farmacevtskih izdelkov ter medicinskih potrebščin in materialov, kar je močno povečalo neto dobiček iz poslovanja te panoge</w:t>
      </w:r>
      <w:r w:rsidR="00CE593A">
        <w:rPr>
          <w:rFonts w:ascii="Myriad Pro" w:hAnsi="Myriad Pro"/>
          <w:sz w:val="20"/>
        </w:rPr>
        <w:t>, ki se</w:t>
      </w:r>
      <w:r w:rsidR="007449E7">
        <w:rPr>
          <w:rFonts w:ascii="Myriad Pro" w:hAnsi="Myriad Pro"/>
          <w:sz w:val="20"/>
        </w:rPr>
        <w:t xml:space="preserve"> je tudi v letu 2023 ohranil na zelo visoki ravni. </w:t>
      </w:r>
      <w:r w:rsidR="00B71A2B">
        <w:rPr>
          <w:rFonts w:ascii="Myriad Pro" w:hAnsi="Myriad Pro"/>
          <w:sz w:val="20"/>
        </w:rPr>
        <w:t>Povečano prodajo</w:t>
      </w:r>
      <w:r w:rsidRPr="00127982">
        <w:rPr>
          <w:rFonts w:ascii="Myriad Pro" w:hAnsi="Myriad Pro"/>
          <w:sz w:val="20"/>
        </w:rPr>
        <w:t xml:space="preserve"> in neto čist</w:t>
      </w:r>
      <w:r w:rsidR="00B71A2B">
        <w:rPr>
          <w:rFonts w:ascii="Myriad Pro" w:hAnsi="Myriad Pro"/>
          <w:sz w:val="20"/>
        </w:rPr>
        <w:t>i</w:t>
      </w:r>
      <w:r w:rsidRPr="00127982">
        <w:rPr>
          <w:rFonts w:ascii="Myriad Pro" w:hAnsi="Myriad Pro"/>
          <w:sz w:val="20"/>
        </w:rPr>
        <w:t xml:space="preserve"> dobič</w:t>
      </w:r>
      <w:r w:rsidR="00B71A2B">
        <w:rPr>
          <w:rFonts w:ascii="Myriad Pro" w:hAnsi="Myriad Pro"/>
          <w:sz w:val="20"/>
        </w:rPr>
        <w:t>ek</w:t>
      </w:r>
      <w:r w:rsidRPr="00127982">
        <w:rPr>
          <w:rFonts w:ascii="Myriad Pro" w:hAnsi="Myriad Pro"/>
          <w:sz w:val="20"/>
        </w:rPr>
        <w:t xml:space="preserve"> iz poslovanja so </w:t>
      </w:r>
      <w:r w:rsidR="00B71A2B">
        <w:rPr>
          <w:rFonts w:ascii="Myriad Pro" w:hAnsi="Myriad Pro"/>
          <w:sz w:val="20"/>
        </w:rPr>
        <w:t xml:space="preserve">od leta 2020 </w:t>
      </w:r>
      <w:r w:rsidR="006909AE">
        <w:rPr>
          <w:rFonts w:ascii="Myriad Pro" w:hAnsi="Myriad Pro"/>
          <w:sz w:val="20"/>
        </w:rPr>
        <w:t>ustvarile</w:t>
      </w:r>
      <w:r w:rsidRPr="00127982">
        <w:rPr>
          <w:rFonts w:ascii="Myriad Pro" w:hAnsi="Myriad Pro"/>
          <w:sz w:val="20"/>
        </w:rPr>
        <w:t xml:space="preserve"> tudi družbe, ki se ukvarjajo s prodajo računalniških naprav</w:t>
      </w:r>
      <w:r w:rsidR="00B71A2B">
        <w:rPr>
          <w:rFonts w:ascii="Myriad Pro" w:hAnsi="Myriad Pro"/>
          <w:sz w:val="20"/>
        </w:rPr>
        <w:t xml:space="preserve">, od leta 2021 pa tudi družbe, ki prodajajo elektronske in telekomunikacijske naprave. </w:t>
      </w:r>
      <w:r w:rsidR="00B71A2B" w:rsidRPr="00127982">
        <w:rPr>
          <w:rFonts w:ascii="Myriad Pro" w:hAnsi="Myriad Pro"/>
          <w:sz w:val="20"/>
        </w:rPr>
        <w:t xml:space="preserve">V letu 2021 se je močno izboljšalo tudi poslovanje družb, ki se ukvarjajo s prodajo na debelo z gorivi, ki pa se je v letu 2022, </w:t>
      </w:r>
      <w:r w:rsidR="006909AE">
        <w:rPr>
          <w:rFonts w:ascii="Myriad Pro" w:hAnsi="Myriad Pro"/>
          <w:sz w:val="20"/>
        </w:rPr>
        <w:t>v okolju</w:t>
      </w:r>
      <w:r w:rsidR="00B71A2B" w:rsidRPr="00127982">
        <w:rPr>
          <w:rFonts w:ascii="Myriad Pro" w:hAnsi="Myriad Pro"/>
          <w:sz w:val="20"/>
        </w:rPr>
        <w:t xml:space="preserve"> visokih nabavnih cen in regulacije prodajnih cen, močno poslabšalo</w:t>
      </w:r>
      <w:r w:rsidR="00B71A2B">
        <w:rPr>
          <w:rFonts w:ascii="Myriad Pro" w:hAnsi="Myriad Pro"/>
          <w:sz w:val="20"/>
        </w:rPr>
        <w:t>, leta 2023 pa ponovno izboljšalo</w:t>
      </w:r>
      <w:r w:rsidR="00B71A2B" w:rsidRPr="00127982">
        <w:rPr>
          <w:rFonts w:ascii="Myriad Pro" w:hAnsi="Myriad Pro"/>
          <w:sz w:val="20"/>
        </w:rPr>
        <w:t xml:space="preserve">. </w:t>
      </w:r>
      <w:r w:rsidR="00B71A2B">
        <w:rPr>
          <w:rFonts w:ascii="Myriad Pro" w:hAnsi="Myriad Pro"/>
          <w:sz w:val="20"/>
        </w:rPr>
        <w:t xml:space="preserve">Močno rast so v letih 2021 in 2022 </w:t>
      </w:r>
      <w:r w:rsidR="006909AE">
        <w:rPr>
          <w:rFonts w:ascii="Myriad Pro" w:hAnsi="Myriad Pro"/>
          <w:sz w:val="20"/>
        </w:rPr>
        <w:t xml:space="preserve">prav tako </w:t>
      </w:r>
      <w:r w:rsidR="00B71A2B">
        <w:rPr>
          <w:rFonts w:ascii="Myriad Pro" w:hAnsi="Myriad Pro"/>
          <w:sz w:val="20"/>
        </w:rPr>
        <w:t>dosegle družbe, ki se ukvarjajo s prodajo</w:t>
      </w:r>
      <w:r w:rsidRPr="00127982">
        <w:rPr>
          <w:rFonts w:ascii="Myriad Pro" w:hAnsi="Myriad Pro"/>
          <w:sz w:val="20"/>
        </w:rPr>
        <w:t xml:space="preserve"> les</w:t>
      </w:r>
      <w:r w:rsidR="00B71A2B">
        <w:rPr>
          <w:rFonts w:ascii="Myriad Pro" w:hAnsi="Myriad Pro"/>
          <w:sz w:val="20"/>
        </w:rPr>
        <w:t>a,</w:t>
      </w:r>
      <w:r w:rsidRPr="00127982">
        <w:rPr>
          <w:rFonts w:ascii="Myriad Pro" w:hAnsi="Myriad Pro"/>
          <w:sz w:val="20"/>
        </w:rPr>
        <w:t xml:space="preserve"> gradben</w:t>
      </w:r>
      <w:r w:rsidR="00B71A2B">
        <w:rPr>
          <w:rFonts w:ascii="Myriad Pro" w:hAnsi="Myriad Pro"/>
          <w:sz w:val="20"/>
        </w:rPr>
        <w:t>ega</w:t>
      </w:r>
      <w:r w:rsidRPr="00127982">
        <w:rPr>
          <w:rFonts w:ascii="Myriad Pro" w:hAnsi="Myriad Pro"/>
          <w:sz w:val="20"/>
        </w:rPr>
        <w:t xml:space="preserve"> material</w:t>
      </w:r>
      <w:r w:rsidR="00B71A2B">
        <w:rPr>
          <w:rFonts w:ascii="Myriad Pro" w:hAnsi="Myriad Pro"/>
          <w:sz w:val="20"/>
        </w:rPr>
        <w:t>a</w:t>
      </w:r>
      <w:r w:rsidR="001E7F76">
        <w:rPr>
          <w:rFonts w:ascii="Myriad Pro" w:hAnsi="Myriad Pro"/>
          <w:sz w:val="20"/>
        </w:rPr>
        <w:t>, kovin, rud</w:t>
      </w:r>
      <w:r w:rsidRPr="00127982">
        <w:rPr>
          <w:rFonts w:ascii="Myriad Pro" w:hAnsi="Myriad Pro"/>
          <w:sz w:val="20"/>
        </w:rPr>
        <w:t xml:space="preserve"> in kemični</w:t>
      </w:r>
      <w:r w:rsidR="00B71A2B">
        <w:rPr>
          <w:rFonts w:ascii="Myriad Pro" w:hAnsi="Myriad Pro"/>
          <w:sz w:val="20"/>
        </w:rPr>
        <w:t>h</w:t>
      </w:r>
      <w:r w:rsidR="001E7F76">
        <w:rPr>
          <w:rFonts w:ascii="Myriad Pro" w:hAnsi="Myriad Pro"/>
          <w:sz w:val="20"/>
        </w:rPr>
        <w:t xml:space="preserve"> ter kovinskih</w:t>
      </w:r>
      <w:r w:rsidRPr="00127982">
        <w:rPr>
          <w:rFonts w:ascii="Myriad Pro" w:hAnsi="Myriad Pro"/>
          <w:sz w:val="20"/>
        </w:rPr>
        <w:t xml:space="preserve"> </w:t>
      </w:r>
      <w:r w:rsidRPr="002D75DE">
        <w:rPr>
          <w:rFonts w:ascii="Myriad Pro" w:hAnsi="Myriad Pro"/>
          <w:sz w:val="20"/>
        </w:rPr>
        <w:t>izdelk</w:t>
      </w:r>
      <w:r w:rsidR="00B71A2B" w:rsidRPr="002D75DE">
        <w:rPr>
          <w:rFonts w:ascii="Myriad Pro" w:hAnsi="Myriad Pro"/>
          <w:sz w:val="20"/>
        </w:rPr>
        <w:t xml:space="preserve">ov. </w:t>
      </w:r>
      <w:r w:rsidRPr="002D75DE">
        <w:rPr>
          <w:rFonts w:ascii="Myriad Pro" w:hAnsi="Myriad Pro"/>
          <w:sz w:val="20"/>
        </w:rPr>
        <w:t>Po tem ko se je poslovanje</w:t>
      </w:r>
      <w:r w:rsidRPr="00127982">
        <w:rPr>
          <w:rFonts w:ascii="Myriad Pro" w:hAnsi="Myriad Pro"/>
          <w:sz w:val="20"/>
        </w:rPr>
        <w:t xml:space="preserve"> </w:t>
      </w:r>
      <w:r w:rsidR="006909AE">
        <w:rPr>
          <w:rFonts w:ascii="Myriad Pro" w:hAnsi="Myriad Pro"/>
          <w:sz w:val="20"/>
        </w:rPr>
        <w:t>v prodaji</w:t>
      </w:r>
      <w:r w:rsidRPr="00127982">
        <w:rPr>
          <w:rFonts w:ascii="Myriad Pro" w:hAnsi="Myriad Pro"/>
          <w:sz w:val="20"/>
        </w:rPr>
        <w:t xml:space="preserve"> pijač</w:t>
      </w:r>
      <w:r w:rsidR="006909AE">
        <w:rPr>
          <w:rFonts w:ascii="Myriad Pro" w:hAnsi="Myriad Pro"/>
          <w:sz w:val="20"/>
        </w:rPr>
        <w:t>e</w:t>
      </w:r>
      <w:r w:rsidRPr="00127982">
        <w:rPr>
          <w:rFonts w:ascii="Myriad Pro" w:hAnsi="Myriad Pro"/>
          <w:sz w:val="20"/>
        </w:rPr>
        <w:t>, sadj</w:t>
      </w:r>
      <w:r w:rsidR="006909AE">
        <w:rPr>
          <w:rFonts w:ascii="Myriad Pro" w:hAnsi="Myriad Pro"/>
          <w:sz w:val="20"/>
        </w:rPr>
        <w:t>a</w:t>
      </w:r>
      <w:r w:rsidRPr="00127982">
        <w:rPr>
          <w:rFonts w:ascii="Myriad Pro" w:hAnsi="Myriad Pro"/>
          <w:sz w:val="20"/>
        </w:rPr>
        <w:t xml:space="preserve"> in zelenjav</w:t>
      </w:r>
      <w:r w:rsidR="006909AE">
        <w:rPr>
          <w:rFonts w:ascii="Myriad Pro" w:hAnsi="Myriad Pro"/>
          <w:sz w:val="20"/>
        </w:rPr>
        <w:t>e</w:t>
      </w:r>
      <w:r w:rsidRPr="00127982">
        <w:rPr>
          <w:rFonts w:ascii="Myriad Pro" w:hAnsi="Myriad Pro"/>
          <w:sz w:val="20"/>
        </w:rPr>
        <w:t xml:space="preserve"> ter oblači</w:t>
      </w:r>
      <w:r w:rsidR="00496480">
        <w:rPr>
          <w:rFonts w:ascii="Myriad Pro" w:hAnsi="Myriad Pro"/>
          <w:sz w:val="20"/>
        </w:rPr>
        <w:t>l</w:t>
      </w:r>
      <w:r w:rsidRPr="00127982">
        <w:rPr>
          <w:rFonts w:ascii="Myriad Pro" w:hAnsi="Myriad Pro"/>
          <w:sz w:val="20"/>
        </w:rPr>
        <w:t xml:space="preserve"> in obutv</w:t>
      </w:r>
      <w:r w:rsidR="006909AE">
        <w:rPr>
          <w:rFonts w:ascii="Myriad Pro" w:hAnsi="Myriad Pro"/>
          <w:sz w:val="20"/>
        </w:rPr>
        <w:t>e</w:t>
      </w:r>
      <w:r w:rsidRPr="00127982">
        <w:rPr>
          <w:rFonts w:ascii="Myriad Pro" w:hAnsi="Myriad Pro"/>
          <w:sz w:val="20"/>
        </w:rPr>
        <w:t xml:space="preserve"> v letu 2020 zaradi večmesečnega zaprtja gostinskih in nastanitvenih obratov ter šol pa tudi prodajaln z oblačili in obutvijo med razglasitvijo epidemije močno poslabšalo, se je v naslednjih </w:t>
      </w:r>
      <w:r w:rsidR="00CE593A">
        <w:rPr>
          <w:rFonts w:ascii="Myriad Pro" w:hAnsi="Myriad Pro"/>
          <w:sz w:val="20"/>
        </w:rPr>
        <w:t>treh</w:t>
      </w:r>
      <w:r w:rsidRPr="00127982">
        <w:rPr>
          <w:rFonts w:ascii="Myriad Pro" w:hAnsi="Myriad Pro"/>
          <w:sz w:val="20"/>
        </w:rPr>
        <w:t xml:space="preserve"> letih ponovno izboljšalo. </w:t>
      </w:r>
      <w:r w:rsidR="00B71A2B">
        <w:rPr>
          <w:rFonts w:ascii="Myriad Pro" w:hAnsi="Myriad Pro"/>
          <w:sz w:val="20"/>
        </w:rPr>
        <w:t xml:space="preserve">Močneje se je v letu 2023 izboljšalo tudi poslovanje družb, ki trgujejo s stroji, napravami in opremo, </w:t>
      </w:r>
      <w:r w:rsidR="00B71A2B" w:rsidRPr="00EB5B73">
        <w:rPr>
          <w:rFonts w:ascii="Myriad Pro" w:hAnsi="Myriad Pro"/>
          <w:sz w:val="20"/>
        </w:rPr>
        <w:t xml:space="preserve">kar </w:t>
      </w:r>
      <w:r w:rsidR="006909AE">
        <w:rPr>
          <w:rFonts w:ascii="Myriad Pro" w:hAnsi="Myriad Pro"/>
          <w:sz w:val="20"/>
        </w:rPr>
        <w:t>lahko vsaj delno povezujemo z</w:t>
      </w:r>
      <w:r w:rsidR="00B71A2B" w:rsidRPr="00EB5B73">
        <w:rPr>
          <w:rFonts w:ascii="Myriad Pro" w:hAnsi="Myriad Pro"/>
          <w:sz w:val="20"/>
        </w:rPr>
        <w:t xml:space="preserve"> odpravljanj</w:t>
      </w:r>
      <w:r w:rsidR="006909AE">
        <w:rPr>
          <w:rFonts w:ascii="Myriad Pro" w:hAnsi="Myriad Pro"/>
          <w:sz w:val="20"/>
        </w:rPr>
        <w:t>em</w:t>
      </w:r>
      <w:r w:rsidR="00B71A2B" w:rsidRPr="00EB5B73">
        <w:rPr>
          <w:rFonts w:ascii="Myriad Pro" w:hAnsi="Myriad Pro"/>
          <w:sz w:val="20"/>
        </w:rPr>
        <w:t xml:space="preserve"> posledic poplav, ki so dosegle Slovenijo lani avgusta.</w:t>
      </w:r>
      <w:r w:rsidR="00A84238">
        <w:rPr>
          <w:rFonts w:ascii="Myriad Pro" w:hAnsi="Myriad Pro"/>
          <w:sz w:val="20"/>
        </w:rPr>
        <w:t xml:space="preserve"> </w:t>
      </w:r>
      <w:r w:rsidR="006909AE">
        <w:rPr>
          <w:rFonts w:ascii="Myriad Pro" w:hAnsi="Myriad Pro"/>
          <w:i/>
          <w:sz w:val="20"/>
        </w:rPr>
        <w:t>N</w:t>
      </w:r>
      <w:r w:rsidR="00A84238" w:rsidRPr="00127982">
        <w:rPr>
          <w:rFonts w:ascii="Myriad Pro" w:hAnsi="Myriad Pro"/>
          <w:i/>
          <w:sz w:val="20"/>
        </w:rPr>
        <w:t>eto dobič</w:t>
      </w:r>
      <w:r w:rsidR="006909AE">
        <w:rPr>
          <w:rFonts w:ascii="Myriad Pro" w:hAnsi="Myriad Pro"/>
          <w:i/>
          <w:sz w:val="20"/>
        </w:rPr>
        <w:t>e</w:t>
      </w:r>
      <w:r w:rsidR="00A84238">
        <w:rPr>
          <w:rFonts w:ascii="Myriad Pro" w:hAnsi="Myriad Pro"/>
          <w:i/>
          <w:sz w:val="20"/>
        </w:rPr>
        <w:t>k</w:t>
      </w:r>
      <w:r w:rsidR="00A84238" w:rsidRPr="00127982">
        <w:rPr>
          <w:rFonts w:ascii="Myriad Pro" w:hAnsi="Myriad Pro"/>
          <w:i/>
          <w:sz w:val="20"/>
        </w:rPr>
        <w:t xml:space="preserve"> iz financiranja</w:t>
      </w:r>
      <w:r w:rsidR="00A84238" w:rsidRPr="00127982">
        <w:rPr>
          <w:rFonts w:ascii="Myriad Pro" w:hAnsi="Myriad Pro"/>
          <w:sz w:val="20"/>
        </w:rPr>
        <w:t xml:space="preserve"> </w:t>
      </w:r>
      <w:r w:rsidR="006909AE">
        <w:rPr>
          <w:rFonts w:ascii="Myriad Pro" w:hAnsi="Myriad Pro"/>
          <w:sz w:val="20"/>
        </w:rPr>
        <w:t xml:space="preserve">se je po visokih vrednostih </w:t>
      </w:r>
      <w:r w:rsidR="00A84238">
        <w:rPr>
          <w:rFonts w:ascii="Myriad Pro" w:hAnsi="Myriad Pro"/>
          <w:sz w:val="20"/>
        </w:rPr>
        <w:t>v prejšnjih dveh letih l</w:t>
      </w:r>
      <w:r w:rsidRPr="00127982">
        <w:rPr>
          <w:rFonts w:ascii="Myriad Pro" w:hAnsi="Myriad Pro"/>
          <w:sz w:val="20"/>
        </w:rPr>
        <w:t>eta 202</w:t>
      </w:r>
      <w:r w:rsidR="00A84238">
        <w:rPr>
          <w:rFonts w:ascii="Myriad Pro" w:hAnsi="Myriad Pro"/>
          <w:sz w:val="20"/>
        </w:rPr>
        <w:t>3</w:t>
      </w:r>
      <w:r w:rsidRPr="00127982">
        <w:rPr>
          <w:rFonts w:ascii="Myriad Pro" w:hAnsi="Myriad Pro"/>
          <w:sz w:val="20"/>
        </w:rPr>
        <w:t xml:space="preserve"> </w:t>
      </w:r>
      <w:r w:rsidR="00A84238">
        <w:rPr>
          <w:rFonts w:ascii="Myriad Pro" w:hAnsi="Myriad Pro"/>
          <w:sz w:val="20"/>
        </w:rPr>
        <w:t xml:space="preserve">bistveno zmanjšal </w:t>
      </w:r>
      <w:r w:rsidRPr="00127982">
        <w:rPr>
          <w:rFonts w:ascii="Myriad Pro" w:hAnsi="Myriad Pro"/>
          <w:sz w:val="20"/>
        </w:rPr>
        <w:t>(</w:t>
      </w:r>
      <w:r w:rsidR="006909AE">
        <w:rPr>
          <w:rFonts w:ascii="Myriad Pro" w:hAnsi="Myriad Pro"/>
          <w:sz w:val="20"/>
        </w:rPr>
        <w:t>s</w:t>
      </w:r>
      <w:r w:rsidR="00A84238">
        <w:rPr>
          <w:rFonts w:ascii="Myriad Pro" w:hAnsi="Myriad Pro"/>
          <w:sz w:val="20"/>
        </w:rPr>
        <w:t xml:space="preserve"> 27,5 na 1,9 </w:t>
      </w:r>
      <w:r w:rsidRPr="00127982">
        <w:rPr>
          <w:rFonts w:ascii="Myriad Pro" w:hAnsi="Myriad Pro"/>
          <w:sz w:val="20"/>
        </w:rPr>
        <w:t xml:space="preserve">mio evrov), </w:t>
      </w:r>
      <w:r w:rsidR="00A84238">
        <w:rPr>
          <w:rFonts w:ascii="Myriad Pro" w:hAnsi="Myriad Pro"/>
          <w:sz w:val="20"/>
        </w:rPr>
        <w:t>tako da se je</w:t>
      </w:r>
      <w:r w:rsidR="006909AE">
        <w:rPr>
          <w:rFonts w:ascii="Myriad Pro" w:hAnsi="Myriad Pro"/>
          <w:sz w:val="20"/>
        </w:rPr>
        <w:t xml:space="preserve"> skupni</w:t>
      </w:r>
      <w:r w:rsidR="00A84238">
        <w:rPr>
          <w:rFonts w:ascii="Myriad Pro" w:hAnsi="Myriad Pro"/>
          <w:sz w:val="20"/>
        </w:rPr>
        <w:t xml:space="preserve"> </w:t>
      </w:r>
      <w:r w:rsidRPr="00127982">
        <w:rPr>
          <w:rFonts w:ascii="Myriad Pro" w:hAnsi="Myriad Pro"/>
          <w:i/>
          <w:sz w:val="20"/>
        </w:rPr>
        <w:t>neto čisti dobiček</w:t>
      </w:r>
      <w:r w:rsidRPr="00127982">
        <w:rPr>
          <w:rFonts w:ascii="Myriad Pro" w:hAnsi="Myriad Pro"/>
          <w:sz w:val="20"/>
        </w:rPr>
        <w:t xml:space="preserve"> </w:t>
      </w:r>
      <w:r w:rsidR="00A84238">
        <w:rPr>
          <w:rFonts w:ascii="Myriad Pro" w:hAnsi="Myriad Pro"/>
          <w:sz w:val="20"/>
        </w:rPr>
        <w:t>družb trgovine na debelo v letu 2023 zmanjšal za 3,7 %</w:t>
      </w:r>
      <w:r w:rsidRPr="00127982">
        <w:rPr>
          <w:rFonts w:ascii="Myriad Pro" w:hAnsi="Myriad Pro"/>
          <w:sz w:val="20"/>
        </w:rPr>
        <w:t xml:space="preserve"> na 7</w:t>
      </w:r>
      <w:r w:rsidR="00A84238">
        <w:rPr>
          <w:rFonts w:ascii="Myriad Pro" w:hAnsi="Myriad Pro"/>
          <w:sz w:val="20"/>
        </w:rPr>
        <w:t>32,4</w:t>
      </w:r>
      <w:r w:rsidRPr="00127982">
        <w:rPr>
          <w:rFonts w:ascii="Myriad Pro" w:hAnsi="Myriad Pro"/>
          <w:sz w:val="20"/>
        </w:rPr>
        <w:t xml:space="preserve"> mio evrov.</w:t>
      </w:r>
    </w:p>
    <w:p w14:paraId="756F0C29" w14:textId="77777777" w:rsidR="00304305" w:rsidRDefault="00304305" w:rsidP="00127982">
      <w:pPr>
        <w:spacing w:after="0" w:line="288" w:lineRule="auto"/>
        <w:jc w:val="both"/>
        <w:rPr>
          <w:rFonts w:ascii="Myriad Pro" w:hAnsi="Myriad Pro"/>
          <w:sz w:val="20"/>
        </w:rPr>
      </w:pPr>
    </w:p>
    <w:p w14:paraId="0E05532F" w14:textId="4D183352" w:rsidR="00304305" w:rsidRPr="00127982" w:rsidRDefault="00304305" w:rsidP="00304305">
      <w:pPr>
        <w:keepNext/>
        <w:keepLines/>
        <w:tabs>
          <w:tab w:val="right" w:leader="dot" w:pos="9070"/>
        </w:tabs>
        <w:spacing w:before="240" w:after="60" w:line="288" w:lineRule="auto"/>
        <w:contextualSpacing/>
        <w:jc w:val="both"/>
        <w:rPr>
          <w:rFonts w:ascii="Myriad Pro" w:hAnsi="Myriad Pro"/>
          <w:b/>
          <w:bCs/>
          <w:noProof/>
          <w:sz w:val="20"/>
          <w:szCs w:val="20"/>
        </w:rPr>
      </w:pPr>
      <w:r w:rsidRPr="00127982">
        <w:rPr>
          <w:rFonts w:ascii="Myriad Pro" w:hAnsi="Myriad Pro"/>
          <w:b/>
          <w:bCs/>
          <w:noProof/>
          <w:sz w:val="20"/>
          <w:szCs w:val="20"/>
        </w:rPr>
        <w:lastRenderedPageBreak/>
        <w:t xml:space="preserve">Slika </w:t>
      </w:r>
      <w:r w:rsidRPr="00127982">
        <w:rPr>
          <w:rFonts w:ascii="Myriad Pro" w:hAnsi="Myriad Pro"/>
          <w:b/>
          <w:bCs/>
          <w:noProof/>
          <w:sz w:val="20"/>
          <w:szCs w:val="20"/>
        </w:rPr>
        <w:fldChar w:fldCharType="begin"/>
      </w:r>
      <w:r w:rsidRPr="00127982">
        <w:rPr>
          <w:rFonts w:ascii="Myriad Pro" w:hAnsi="Myriad Pro"/>
          <w:b/>
          <w:bCs/>
          <w:noProof/>
          <w:sz w:val="20"/>
          <w:szCs w:val="20"/>
        </w:rPr>
        <w:instrText xml:space="preserve"> SEQ Slika \* ARABIC </w:instrText>
      </w:r>
      <w:r w:rsidRPr="00127982">
        <w:rPr>
          <w:rFonts w:ascii="Myriad Pro" w:hAnsi="Myriad Pro"/>
          <w:b/>
          <w:bCs/>
          <w:noProof/>
          <w:sz w:val="20"/>
          <w:szCs w:val="20"/>
        </w:rPr>
        <w:fldChar w:fldCharType="separate"/>
      </w:r>
      <w:r>
        <w:rPr>
          <w:rFonts w:ascii="Myriad Pro" w:hAnsi="Myriad Pro"/>
          <w:b/>
          <w:bCs/>
          <w:noProof/>
          <w:sz w:val="20"/>
          <w:szCs w:val="20"/>
        </w:rPr>
        <w:t>9</w:t>
      </w:r>
      <w:r w:rsidRPr="00127982">
        <w:rPr>
          <w:rFonts w:ascii="Myriad Pro" w:hAnsi="Myriad Pro"/>
          <w:b/>
          <w:bCs/>
          <w:noProof/>
          <w:sz w:val="20"/>
          <w:szCs w:val="20"/>
        </w:rPr>
        <w:fldChar w:fldCharType="end"/>
      </w:r>
      <w:r w:rsidRPr="00127982">
        <w:rPr>
          <w:rFonts w:ascii="Myriad Pro" w:hAnsi="Myriad Pro"/>
          <w:b/>
          <w:bCs/>
          <w:noProof/>
          <w:sz w:val="20"/>
          <w:szCs w:val="20"/>
        </w:rPr>
        <w:t xml:space="preserve">: </w:t>
      </w:r>
      <w:r w:rsidRPr="00EA1F0B">
        <w:rPr>
          <w:rFonts w:ascii="Myriad Pro" w:hAnsi="Myriad Pro"/>
          <w:b/>
          <w:bCs/>
          <w:noProof/>
          <w:sz w:val="20"/>
          <w:szCs w:val="20"/>
        </w:rPr>
        <w:t>Neto dobiček iz</w:t>
      </w:r>
      <w:r w:rsidRPr="00127982">
        <w:rPr>
          <w:rFonts w:ascii="Myriad Pro" w:hAnsi="Myriad Pro"/>
          <w:b/>
          <w:bCs/>
          <w:noProof/>
          <w:sz w:val="20"/>
          <w:szCs w:val="20"/>
        </w:rPr>
        <w:t xml:space="preserve"> poslovanja </w:t>
      </w:r>
      <w:r>
        <w:rPr>
          <w:rFonts w:ascii="Myriad Pro" w:hAnsi="Myriad Pro"/>
          <w:b/>
          <w:bCs/>
          <w:noProof/>
          <w:sz w:val="20"/>
          <w:szCs w:val="20"/>
        </w:rPr>
        <w:t xml:space="preserve">v trgovini na debelo </w:t>
      </w:r>
      <w:r w:rsidRPr="00127982">
        <w:rPr>
          <w:rFonts w:ascii="Myriad Pro" w:hAnsi="Myriad Pro"/>
          <w:b/>
          <w:bCs/>
          <w:noProof/>
          <w:sz w:val="20"/>
          <w:szCs w:val="20"/>
        </w:rPr>
        <w:t xml:space="preserve">se je med epidemijo najbolj </w:t>
      </w:r>
      <w:r>
        <w:rPr>
          <w:rFonts w:ascii="Myriad Pro" w:hAnsi="Myriad Pro"/>
          <w:b/>
          <w:bCs/>
          <w:noProof/>
          <w:sz w:val="20"/>
          <w:szCs w:val="20"/>
        </w:rPr>
        <w:t>povečal pri prodaji</w:t>
      </w:r>
      <w:r w:rsidRPr="00127982">
        <w:rPr>
          <w:rFonts w:ascii="Myriad Pro" w:hAnsi="Myriad Pro"/>
          <w:b/>
          <w:bCs/>
          <w:noProof/>
          <w:sz w:val="20"/>
          <w:szCs w:val="20"/>
        </w:rPr>
        <w:t xml:space="preserve"> farmacevtski</w:t>
      </w:r>
      <w:r>
        <w:rPr>
          <w:rFonts w:ascii="Myriad Pro" w:hAnsi="Myriad Pro"/>
          <w:b/>
          <w:bCs/>
          <w:noProof/>
          <w:sz w:val="20"/>
          <w:szCs w:val="20"/>
        </w:rPr>
        <w:t>h</w:t>
      </w:r>
      <w:r w:rsidRPr="00127982">
        <w:rPr>
          <w:rFonts w:ascii="Myriad Pro" w:hAnsi="Myriad Pro"/>
          <w:b/>
          <w:bCs/>
          <w:noProof/>
          <w:sz w:val="20"/>
          <w:szCs w:val="20"/>
        </w:rPr>
        <w:t xml:space="preserve"> izdelk</w:t>
      </w:r>
      <w:r>
        <w:rPr>
          <w:rFonts w:ascii="Myriad Pro" w:hAnsi="Myriad Pro"/>
          <w:b/>
          <w:bCs/>
          <w:noProof/>
          <w:sz w:val="20"/>
          <w:szCs w:val="20"/>
        </w:rPr>
        <w:t>ov</w:t>
      </w:r>
      <w:r w:rsidRPr="00127982">
        <w:rPr>
          <w:rFonts w:ascii="Myriad Pro" w:hAnsi="Myriad Pro"/>
          <w:b/>
          <w:bCs/>
          <w:noProof/>
          <w:sz w:val="20"/>
          <w:szCs w:val="20"/>
        </w:rPr>
        <w:t xml:space="preserve"> in medicinsk</w:t>
      </w:r>
      <w:r>
        <w:rPr>
          <w:rFonts w:ascii="Myriad Pro" w:hAnsi="Myriad Pro"/>
          <w:b/>
          <w:bCs/>
          <w:noProof/>
          <w:sz w:val="20"/>
          <w:szCs w:val="20"/>
        </w:rPr>
        <w:t>ega</w:t>
      </w:r>
      <w:r w:rsidRPr="00127982">
        <w:rPr>
          <w:rFonts w:ascii="Myriad Pro" w:hAnsi="Myriad Pro"/>
          <w:b/>
          <w:bCs/>
          <w:noProof/>
          <w:sz w:val="20"/>
          <w:szCs w:val="20"/>
        </w:rPr>
        <w:t xml:space="preserve"> material</w:t>
      </w:r>
      <w:r>
        <w:rPr>
          <w:rFonts w:ascii="Myriad Pro" w:hAnsi="Myriad Pro"/>
          <w:b/>
          <w:bCs/>
          <w:noProof/>
          <w:sz w:val="20"/>
          <w:szCs w:val="20"/>
        </w:rPr>
        <w:t>a</w:t>
      </w:r>
      <w:r w:rsidRPr="00127982">
        <w:rPr>
          <w:rFonts w:ascii="Myriad Pro" w:hAnsi="Myriad Pro"/>
          <w:b/>
          <w:bCs/>
          <w:noProof/>
          <w:sz w:val="20"/>
          <w:szCs w:val="20"/>
        </w:rPr>
        <w:t xml:space="preserve">, v letih 2021 in 2022 </w:t>
      </w:r>
      <w:r>
        <w:rPr>
          <w:rFonts w:ascii="Myriad Pro" w:hAnsi="Myriad Pro"/>
          <w:b/>
          <w:bCs/>
          <w:noProof/>
          <w:sz w:val="20"/>
          <w:szCs w:val="20"/>
        </w:rPr>
        <w:t>pri prodaji</w:t>
      </w:r>
      <w:r w:rsidRPr="00127982">
        <w:rPr>
          <w:rFonts w:ascii="Myriad Pro" w:hAnsi="Myriad Pro"/>
          <w:b/>
          <w:bCs/>
          <w:noProof/>
          <w:sz w:val="20"/>
          <w:szCs w:val="20"/>
        </w:rPr>
        <w:t xml:space="preserve"> primarni</w:t>
      </w:r>
      <w:r>
        <w:rPr>
          <w:rFonts w:ascii="Myriad Pro" w:hAnsi="Myriad Pro"/>
          <w:b/>
          <w:bCs/>
          <w:noProof/>
          <w:sz w:val="20"/>
          <w:szCs w:val="20"/>
        </w:rPr>
        <w:t>h</w:t>
      </w:r>
      <w:r w:rsidRPr="00127982">
        <w:rPr>
          <w:rFonts w:ascii="Myriad Pro" w:hAnsi="Myriad Pro"/>
          <w:b/>
          <w:bCs/>
          <w:noProof/>
          <w:sz w:val="20"/>
          <w:szCs w:val="20"/>
        </w:rPr>
        <w:t xml:space="preserve"> proizvod</w:t>
      </w:r>
      <w:r>
        <w:rPr>
          <w:rFonts w:ascii="Myriad Pro" w:hAnsi="Myriad Pro"/>
          <w:b/>
          <w:bCs/>
          <w:noProof/>
          <w:sz w:val="20"/>
          <w:szCs w:val="20"/>
        </w:rPr>
        <w:t>ov,</w:t>
      </w:r>
      <w:r w:rsidRPr="00127982">
        <w:rPr>
          <w:rFonts w:ascii="Myriad Pro" w:hAnsi="Myriad Pro"/>
          <w:b/>
          <w:bCs/>
          <w:noProof/>
          <w:sz w:val="20"/>
          <w:szCs w:val="20"/>
        </w:rPr>
        <w:t xml:space="preserve"> </w:t>
      </w:r>
      <w:r>
        <w:rPr>
          <w:rFonts w:ascii="Myriad Pro" w:hAnsi="Myriad Pro"/>
          <w:b/>
          <w:bCs/>
          <w:noProof/>
          <w:sz w:val="20"/>
          <w:szCs w:val="20"/>
        </w:rPr>
        <w:t>v letu 2023 pa pri prodaji goriv, rudarskih in gradbenih strojev ter nekaterih živil</w:t>
      </w:r>
    </w:p>
    <w:p w14:paraId="7D54FA3A" w14:textId="682BD1C6" w:rsidR="00304305" w:rsidRPr="00127982" w:rsidRDefault="00F22954" w:rsidP="00304305">
      <w:pPr>
        <w:keepNext/>
        <w:keepLines/>
        <w:tabs>
          <w:tab w:val="right" w:leader="dot" w:pos="9070"/>
        </w:tabs>
        <w:spacing w:before="240" w:after="60" w:line="288" w:lineRule="auto"/>
        <w:contextualSpacing/>
        <w:jc w:val="both"/>
        <w:rPr>
          <w:rFonts w:ascii="Myriad Pro" w:hAnsi="Myriad Pro"/>
          <w:b/>
          <w:bCs/>
          <w:noProof/>
          <w:sz w:val="20"/>
          <w:szCs w:val="20"/>
        </w:rPr>
      </w:pPr>
      <w:r w:rsidRPr="00F22954">
        <w:rPr>
          <w:noProof/>
        </w:rPr>
        <w:drawing>
          <wp:inline distT="0" distB="0" distL="0" distR="0" wp14:anchorId="6237F18C" wp14:editId="1EFC4347">
            <wp:extent cx="5759450" cy="20510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2051050"/>
                    </a:xfrm>
                    <a:prstGeom prst="rect">
                      <a:avLst/>
                    </a:prstGeom>
                    <a:noFill/>
                    <a:ln>
                      <a:noFill/>
                    </a:ln>
                  </pic:spPr>
                </pic:pic>
              </a:graphicData>
            </a:graphic>
          </wp:inline>
        </w:drawing>
      </w:r>
      <w:r w:rsidR="00304305" w:rsidRPr="00127982">
        <w:rPr>
          <w:rFonts w:ascii="Myriad Pro" w:hAnsi="Myriad Pro"/>
          <w:b/>
          <w:bCs/>
          <w:noProof/>
          <w:sz w:val="20"/>
          <w:szCs w:val="20"/>
        </w:rPr>
        <w:t xml:space="preserve"> </w:t>
      </w:r>
    </w:p>
    <w:p w14:paraId="40108033" w14:textId="77777777" w:rsidR="00304305" w:rsidRDefault="00304305" w:rsidP="00304305">
      <w:pPr>
        <w:spacing w:before="40" w:after="0" w:line="240" w:lineRule="auto"/>
        <w:jc w:val="both"/>
        <w:rPr>
          <w:rFonts w:ascii="Myriad Pro" w:hAnsi="Myriad Pro"/>
          <w:sz w:val="16"/>
        </w:rPr>
      </w:pPr>
      <w:r w:rsidRPr="00127982">
        <w:rPr>
          <w:rFonts w:ascii="Myriad Pro" w:hAnsi="Myriad Pro"/>
          <w:sz w:val="16"/>
        </w:rPr>
        <w:t xml:space="preserve">Vir podatkov: </w:t>
      </w:r>
      <w:r w:rsidRPr="00127982">
        <w:rPr>
          <w:rFonts w:ascii="Myriad Pro" w:hAnsi="Myriad Pro"/>
          <w:sz w:val="16"/>
        </w:rPr>
        <w:fldChar w:fldCharType="begin"/>
      </w:r>
      <w:r>
        <w:rPr>
          <w:rFonts w:ascii="Myriad Pro" w:hAnsi="Myriad Pro"/>
          <w:sz w:val="16"/>
        </w:rPr>
        <w:instrText xml:space="preserve"> ADDIN ZOTERO_ITEM CSL_CITATION {"citationID":"vefm8qp7","properties":{"formattedCitation":"(AJPES, 2024)","plainCitation":"(AJPES, 2024)","noteIndex":0},"citationItems":[{"id":3,"uris":["http://zotero.org/users/8372339/items/IC2SCV5C",["http://zotero.org/users/8372339/items/IC2SCV5C"]],"itemData":{"id":3,"type":"report","event-place":"Ljubljana","publisher":"Agencija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rsidRPr="00127982">
        <w:rPr>
          <w:rFonts w:ascii="Myriad Pro" w:hAnsi="Myriad Pro"/>
          <w:sz w:val="16"/>
        </w:rPr>
        <w:fldChar w:fldCharType="separate"/>
      </w:r>
      <w:r w:rsidRPr="00317ED8">
        <w:rPr>
          <w:rFonts w:ascii="Myriad Pro" w:hAnsi="Myriad Pro"/>
          <w:sz w:val="16"/>
        </w:rPr>
        <w:t>AJPES</w:t>
      </w:r>
      <w:r>
        <w:rPr>
          <w:rFonts w:ascii="Myriad Pro" w:hAnsi="Myriad Pro"/>
          <w:sz w:val="16"/>
        </w:rPr>
        <w:t xml:space="preserve"> (</w:t>
      </w:r>
      <w:r w:rsidRPr="00317ED8">
        <w:rPr>
          <w:rFonts w:ascii="Myriad Pro" w:hAnsi="Myriad Pro"/>
          <w:sz w:val="16"/>
        </w:rPr>
        <w:t>2024)</w:t>
      </w:r>
      <w:r w:rsidRPr="00127982">
        <w:rPr>
          <w:rFonts w:ascii="Myriad Pro" w:hAnsi="Myriad Pro"/>
          <w:sz w:val="16"/>
        </w:rPr>
        <w:fldChar w:fldCharType="end"/>
      </w:r>
      <w:r w:rsidRPr="00127982">
        <w:rPr>
          <w:rFonts w:ascii="Myriad Pro" w:hAnsi="Myriad Pro"/>
          <w:sz w:val="16"/>
        </w:rPr>
        <w:fldChar w:fldCharType="begin"/>
      </w:r>
      <w:r>
        <w:rPr>
          <w:rFonts w:ascii="Myriad Pro" w:hAnsi="Myriad Pro"/>
          <w:sz w:val="16"/>
        </w:rPr>
        <w:instrText xml:space="preserve"> ADDIN ZOTERO_ITEM CSL_CITATION {"citationID":"6QdKJKF4","properties":{"formattedCitation":"(AJPES, 2022)","plainCitation":"(AJPES, 2022)","dontUpdate":true,"noteIndex":0},"citationItems":[{"id":3,"uris":["http://zotero.org/users/8372339/items/IC2SCV5C",["http://zotero.org/users/8372339/items/IC2SCV5C"]],"itemData":{"id":3,"type":"report","event-place":"Ljubljana","publisher":"Agencija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rsidRPr="00127982">
        <w:rPr>
          <w:rFonts w:ascii="Myriad Pro" w:hAnsi="Myriad Pro"/>
          <w:sz w:val="16"/>
        </w:rPr>
        <w:fldChar w:fldCharType="end"/>
      </w:r>
      <w:r w:rsidRPr="00127982">
        <w:rPr>
          <w:rFonts w:ascii="Myriad Pro" w:hAnsi="Myriad Pro"/>
          <w:sz w:val="16"/>
        </w:rPr>
        <w:t>, lastni izračuni.</w:t>
      </w:r>
    </w:p>
    <w:p w14:paraId="64664FD8" w14:textId="77777777" w:rsidR="00B06816" w:rsidRDefault="00B06816" w:rsidP="00304305">
      <w:pPr>
        <w:spacing w:before="40" w:after="0" w:line="240" w:lineRule="auto"/>
        <w:jc w:val="both"/>
        <w:rPr>
          <w:rFonts w:ascii="Myriad Pro" w:hAnsi="Myriad Pro"/>
          <w:sz w:val="16"/>
        </w:rPr>
      </w:pPr>
    </w:p>
    <w:p w14:paraId="5CB35FE8" w14:textId="2168F49B" w:rsidR="00B06816" w:rsidRPr="00127982" w:rsidRDefault="00B06816" w:rsidP="00B06816">
      <w:pPr>
        <w:pStyle w:val="Naslov2"/>
      </w:pPr>
      <w:bookmarkStart w:id="23" w:name="_Toc170819232"/>
      <w:r>
        <w:t>Trgovina na drobno</w:t>
      </w:r>
      <w:bookmarkEnd w:id="23"/>
    </w:p>
    <w:p w14:paraId="76E7E46F" w14:textId="0E04DBD0" w:rsidR="00127982" w:rsidRDefault="00127982" w:rsidP="00127982">
      <w:pPr>
        <w:spacing w:after="0" w:line="288" w:lineRule="auto"/>
        <w:jc w:val="both"/>
        <w:rPr>
          <w:rFonts w:ascii="Myriad Pro" w:hAnsi="Myriad Pro"/>
          <w:sz w:val="20"/>
        </w:rPr>
      </w:pPr>
      <w:r w:rsidRPr="00E01D76">
        <w:rPr>
          <w:rFonts w:ascii="Myriad Pro" w:hAnsi="Myriad Pro"/>
          <w:b/>
          <w:sz w:val="20"/>
        </w:rPr>
        <w:t>Neto čisti dobiček v trgovini n</w:t>
      </w:r>
      <w:r w:rsidRPr="00127982">
        <w:rPr>
          <w:rFonts w:ascii="Myriad Pro" w:hAnsi="Myriad Pro"/>
          <w:b/>
          <w:sz w:val="20"/>
        </w:rPr>
        <w:t>a drobno se je po skokovitem povečanju leta 2021</w:t>
      </w:r>
      <w:r w:rsidR="00A84238">
        <w:rPr>
          <w:rFonts w:ascii="Myriad Pro" w:hAnsi="Myriad Pro"/>
          <w:b/>
          <w:sz w:val="20"/>
        </w:rPr>
        <w:t xml:space="preserve"> in močnem zmanjšanju</w:t>
      </w:r>
      <w:r w:rsidRPr="00127982">
        <w:rPr>
          <w:rFonts w:ascii="Myriad Pro" w:hAnsi="Myriad Pro"/>
          <w:b/>
          <w:sz w:val="20"/>
        </w:rPr>
        <w:t xml:space="preserve"> v letu 2022</w:t>
      </w:r>
      <w:r w:rsidR="00A84238">
        <w:rPr>
          <w:rFonts w:ascii="Myriad Pro" w:hAnsi="Myriad Pro"/>
          <w:b/>
          <w:sz w:val="20"/>
        </w:rPr>
        <w:t xml:space="preserve"> </w:t>
      </w:r>
      <w:r w:rsidR="003405A9">
        <w:rPr>
          <w:rFonts w:ascii="Myriad Pro" w:hAnsi="Myriad Pro"/>
          <w:b/>
          <w:sz w:val="20"/>
        </w:rPr>
        <w:t xml:space="preserve">lani </w:t>
      </w:r>
      <w:r w:rsidR="00A84238">
        <w:rPr>
          <w:rFonts w:ascii="Myriad Pro" w:hAnsi="Myriad Pro"/>
          <w:b/>
          <w:sz w:val="20"/>
        </w:rPr>
        <w:t>povečal za več kot petino</w:t>
      </w:r>
      <w:r w:rsidRPr="00127982">
        <w:rPr>
          <w:rFonts w:ascii="Myriad Pro" w:hAnsi="Myriad Pro"/>
          <w:b/>
          <w:sz w:val="20"/>
        </w:rPr>
        <w:t xml:space="preserve">, na kar je vplivalo predvsem </w:t>
      </w:r>
      <w:r w:rsidR="00A84238">
        <w:rPr>
          <w:rFonts w:ascii="Myriad Pro" w:hAnsi="Myriad Pro"/>
          <w:b/>
          <w:sz w:val="20"/>
        </w:rPr>
        <w:t xml:space="preserve">povečanje </w:t>
      </w:r>
      <w:r w:rsidRPr="00127982">
        <w:rPr>
          <w:rFonts w:ascii="Myriad Pro" w:hAnsi="Myriad Pro"/>
          <w:b/>
          <w:sz w:val="20"/>
        </w:rPr>
        <w:t xml:space="preserve">neto dobička iz poslovanja. </w:t>
      </w:r>
      <w:r w:rsidRPr="00127982">
        <w:rPr>
          <w:rFonts w:ascii="Myriad Pro" w:hAnsi="Myriad Pro"/>
          <w:sz w:val="20"/>
        </w:rPr>
        <w:t>Po tem ko se je leta 2021 povečal za 459 % na 436,8 mio evrov</w:t>
      </w:r>
      <w:r w:rsidR="00A84238">
        <w:rPr>
          <w:rFonts w:ascii="Myriad Pro" w:hAnsi="Myriad Pro"/>
          <w:sz w:val="20"/>
        </w:rPr>
        <w:t xml:space="preserve"> in</w:t>
      </w:r>
      <w:r w:rsidRPr="00127982">
        <w:rPr>
          <w:rFonts w:ascii="Myriad Pro" w:hAnsi="Myriad Pro"/>
          <w:sz w:val="20"/>
        </w:rPr>
        <w:t xml:space="preserve"> se leta 2022 zmanjšal za 40 %</w:t>
      </w:r>
      <w:r w:rsidR="00A84238">
        <w:rPr>
          <w:rFonts w:ascii="Myriad Pro" w:hAnsi="Myriad Pro"/>
          <w:sz w:val="20"/>
        </w:rPr>
        <w:t xml:space="preserve"> na</w:t>
      </w:r>
      <w:r w:rsidRPr="00127982">
        <w:rPr>
          <w:rFonts w:ascii="Myriad Pro" w:hAnsi="Myriad Pro"/>
          <w:sz w:val="20"/>
        </w:rPr>
        <w:t xml:space="preserve"> 263,4 mio evrov</w:t>
      </w:r>
      <w:r w:rsidR="00A84238">
        <w:rPr>
          <w:rFonts w:ascii="Myriad Pro" w:hAnsi="Myriad Pro"/>
          <w:sz w:val="20"/>
        </w:rPr>
        <w:t xml:space="preserve">, se je </w:t>
      </w:r>
      <w:r w:rsidR="00A84238" w:rsidRPr="00127982">
        <w:rPr>
          <w:rFonts w:ascii="Myriad Pro" w:hAnsi="Myriad Pro"/>
          <w:sz w:val="20"/>
        </w:rPr>
        <w:t xml:space="preserve">neto čisti dobiček </w:t>
      </w:r>
      <w:r w:rsidR="00A84238">
        <w:rPr>
          <w:rFonts w:ascii="Myriad Pro" w:hAnsi="Myriad Pro"/>
          <w:sz w:val="20"/>
        </w:rPr>
        <w:t>leta 2023 povečal na 321,3 mio evrov</w:t>
      </w:r>
      <w:r w:rsidRPr="00127982">
        <w:rPr>
          <w:rFonts w:ascii="Myriad Pro" w:hAnsi="Myriad Pro"/>
          <w:sz w:val="20"/>
        </w:rPr>
        <w:t xml:space="preserve">. Na poslovanje celotne panoge najbolj vplivajo družbe dveh skupin, kjer je neto dobiček iz poslovanja v zadnjih </w:t>
      </w:r>
      <w:r w:rsidR="00E01D76">
        <w:rPr>
          <w:rFonts w:ascii="Myriad Pro" w:hAnsi="Myriad Pro"/>
          <w:sz w:val="20"/>
        </w:rPr>
        <w:t>treh</w:t>
      </w:r>
      <w:r w:rsidRPr="00127982">
        <w:rPr>
          <w:rFonts w:ascii="Myriad Pro" w:hAnsi="Myriad Pro"/>
          <w:sz w:val="20"/>
        </w:rPr>
        <w:t xml:space="preserve"> letih najbolj nihal</w:t>
      </w:r>
      <w:r w:rsidRPr="00127982">
        <w:rPr>
          <w:rFonts w:ascii="Myriad Pro" w:hAnsi="Myriad Pro"/>
          <w:sz w:val="18"/>
          <w:vertAlign w:val="superscript"/>
        </w:rPr>
        <w:footnoteReference w:id="8"/>
      </w:r>
      <w:r w:rsidRPr="00127982">
        <w:rPr>
          <w:rFonts w:ascii="Myriad Pro" w:hAnsi="Myriad Pro"/>
          <w:sz w:val="20"/>
        </w:rPr>
        <w:t xml:space="preserve"> – </w:t>
      </w:r>
      <w:bookmarkStart w:id="24" w:name="_Hlk138239032"/>
      <w:r w:rsidRPr="00127982">
        <w:rPr>
          <w:rFonts w:ascii="Myriad Pro" w:hAnsi="Myriad Pro"/>
          <w:sz w:val="20"/>
        </w:rPr>
        <w:t>trgovine na drobno v nespecializiranih prodajalnah</w:t>
      </w:r>
      <w:bookmarkEnd w:id="24"/>
      <w:r w:rsidRPr="00127982">
        <w:rPr>
          <w:rFonts w:ascii="Myriad Pro" w:hAnsi="Myriad Pro"/>
          <w:sz w:val="20"/>
        </w:rPr>
        <w:t xml:space="preserve"> (G 47.1) in trgovine na drobno v specializiranih prodajalnah z motornimi gorivi (G 47.3). V zadnjih </w:t>
      </w:r>
      <w:r w:rsidR="00AE547C" w:rsidRPr="00AE547C">
        <w:rPr>
          <w:rFonts w:ascii="Myriad Pro" w:hAnsi="Myriad Pro"/>
          <w:sz w:val="20"/>
        </w:rPr>
        <w:t>štirih</w:t>
      </w:r>
      <w:r w:rsidRPr="00AE547C">
        <w:rPr>
          <w:rFonts w:ascii="Myriad Pro" w:hAnsi="Myriad Pro"/>
          <w:sz w:val="20"/>
        </w:rPr>
        <w:t xml:space="preserve"> letih</w:t>
      </w:r>
      <w:r w:rsidRPr="00127982">
        <w:rPr>
          <w:rFonts w:ascii="Myriad Pro" w:hAnsi="Myriad Pro"/>
          <w:sz w:val="20"/>
        </w:rPr>
        <w:t xml:space="preserve"> so na poslovanje celotnega oddelka močno vplivale tudi družbe manjših panog</w:t>
      </w:r>
      <w:r w:rsidR="00AF4692">
        <w:rPr>
          <w:rFonts w:ascii="Myriad Pro" w:hAnsi="Myriad Pro"/>
          <w:sz w:val="20"/>
        </w:rPr>
        <w:t>. Njihovo</w:t>
      </w:r>
      <w:r w:rsidRPr="00127982">
        <w:rPr>
          <w:rFonts w:ascii="Myriad Pro" w:hAnsi="Myriad Pro"/>
          <w:sz w:val="20"/>
        </w:rPr>
        <w:t xml:space="preserve"> poslovanje se je v letu 2020, zaradi omejitev pri poslovanju, močno poslabšalo, v letih 2021</w:t>
      </w:r>
      <w:r w:rsidR="00AE547C">
        <w:rPr>
          <w:rFonts w:ascii="Myriad Pro" w:hAnsi="Myriad Pro"/>
          <w:sz w:val="20"/>
        </w:rPr>
        <w:t xml:space="preserve"> in 2022</w:t>
      </w:r>
      <w:r w:rsidR="007C0C7D">
        <w:rPr>
          <w:rFonts w:ascii="Myriad Pro" w:hAnsi="Myriad Pro"/>
          <w:sz w:val="20"/>
        </w:rPr>
        <w:t xml:space="preserve"> </w:t>
      </w:r>
      <w:r w:rsidR="00AE547C">
        <w:rPr>
          <w:rFonts w:ascii="Myriad Pro" w:hAnsi="Myriad Pro"/>
          <w:sz w:val="20"/>
        </w:rPr>
        <w:t>oživelo, v letu 2023 pa spet poslabšalo</w:t>
      </w:r>
      <w:r w:rsidRPr="00127982">
        <w:rPr>
          <w:rFonts w:ascii="Myriad Pro" w:hAnsi="Myriad Pro"/>
          <w:sz w:val="20"/>
        </w:rPr>
        <w:t>. Gre predvsem za družbe trgovine na drobno v specializiranih prodajalnah z drugo gospodinjsko opremo (G 47.5), družbe trgovine na drobno v specializiranih prodajalnah z izdelki za kulturo, šport in zabavo (G 47.6) ter družbe trgovine na drobno v specializiranih prodajalnah z drugimi izdelki (G 47.7). Skupaj so družbe teh panog zaradi manjše prodaje v letu 2020 glede na 2019 zmanjšale svoj neto dobiček iz poslovanja za 85,2 mio evrov</w:t>
      </w:r>
      <w:r w:rsidR="00AE547C">
        <w:rPr>
          <w:rFonts w:ascii="Myriad Pro" w:hAnsi="Myriad Pro"/>
          <w:sz w:val="20"/>
        </w:rPr>
        <w:t>. O</w:t>
      </w:r>
      <w:r w:rsidRPr="00127982">
        <w:rPr>
          <w:rFonts w:ascii="Myriad Pro" w:hAnsi="Myriad Pro"/>
          <w:sz w:val="20"/>
        </w:rPr>
        <w:t>b oživitvi poslovanja v naslednjih dveh letih se je do leta 2022 spet povečal za 115,3 mio evrov</w:t>
      </w:r>
      <w:r w:rsidR="00AE547C">
        <w:rPr>
          <w:rFonts w:ascii="Myriad Pro" w:hAnsi="Myriad Pro"/>
          <w:sz w:val="20"/>
        </w:rPr>
        <w:t>, v letu 2023 pa se je ob umiritvi rasti trošenja gospodinjstev zmanjšal za 26,5 mio evrov.</w:t>
      </w:r>
    </w:p>
    <w:p w14:paraId="2E8CE104" w14:textId="77777777" w:rsidR="007A7055" w:rsidRPr="00127982" w:rsidRDefault="007A7055" w:rsidP="00127982">
      <w:pPr>
        <w:spacing w:after="0" w:line="288" w:lineRule="auto"/>
        <w:jc w:val="both"/>
        <w:rPr>
          <w:rFonts w:ascii="Myriad Pro" w:hAnsi="Myriad Pro"/>
          <w:sz w:val="20"/>
        </w:rPr>
      </w:pPr>
    </w:p>
    <w:p w14:paraId="3ADD3EC6" w14:textId="7668159E" w:rsidR="00F64621" w:rsidRDefault="00F64621" w:rsidP="00F64621">
      <w:pPr>
        <w:keepNext/>
        <w:spacing w:after="0" w:line="288" w:lineRule="auto"/>
        <w:jc w:val="both"/>
        <w:rPr>
          <w:rFonts w:ascii="Myriad Pro" w:hAnsi="Myriad Pro"/>
          <w:sz w:val="20"/>
        </w:rPr>
      </w:pPr>
      <w:r w:rsidRPr="00127982">
        <w:rPr>
          <w:rFonts w:ascii="Myriad Pro" w:hAnsi="Myriad Pro"/>
          <w:b/>
          <w:sz w:val="20"/>
        </w:rPr>
        <w:t>Poslovni rezultat v družbah trgovine na drobno v nespecializiranih prodajalnah se je, po občutnem izboljšanju v letu</w:t>
      </w:r>
      <w:r>
        <w:rPr>
          <w:rFonts w:ascii="Myriad Pro" w:hAnsi="Myriad Pro"/>
          <w:b/>
          <w:sz w:val="20"/>
        </w:rPr>
        <w:t xml:space="preserve"> 2021</w:t>
      </w:r>
      <w:r w:rsidRPr="00127982">
        <w:rPr>
          <w:rFonts w:ascii="Myriad Pro" w:hAnsi="Myriad Pro"/>
          <w:b/>
          <w:sz w:val="20"/>
        </w:rPr>
        <w:t xml:space="preserve">, v </w:t>
      </w:r>
      <w:r>
        <w:rPr>
          <w:rFonts w:ascii="Myriad Pro" w:hAnsi="Myriad Pro"/>
          <w:b/>
          <w:sz w:val="20"/>
        </w:rPr>
        <w:t>naslednjih dveh letih</w:t>
      </w:r>
      <w:r w:rsidRPr="00127982">
        <w:rPr>
          <w:rFonts w:ascii="Myriad Pro" w:hAnsi="Myriad Pro"/>
          <w:b/>
          <w:sz w:val="20"/>
        </w:rPr>
        <w:t xml:space="preserve"> precej poslabšal.</w:t>
      </w:r>
      <w:r w:rsidRPr="00127982">
        <w:rPr>
          <w:rFonts w:ascii="Myriad Pro" w:hAnsi="Myriad Pro"/>
          <w:sz w:val="20"/>
        </w:rPr>
        <w:t xml:space="preserve"> Po neto čisti izgubi leta 2017 je celotna skupina, </w:t>
      </w:r>
      <w:bookmarkStart w:id="25" w:name="_Hlk138239151"/>
      <w:r w:rsidRPr="00127982">
        <w:rPr>
          <w:rFonts w:ascii="Myriad Pro" w:hAnsi="Myriad Pro"/>
          <w:sz w:val="20"/>
        </w:rPr>
        <w:t>v kateri prevladujejo hipermarketi, marketi in diskonti</w:t>
      </w:r>
      <w:bookmarkEnd w:id="25"/>
      <w:r w:rsidRPr="00127982">
        <w:rPr>
          <w:rFonts w:ascii="Myriad Pro" w:hAnsi="Myriad Pro"/>
          <w:sz w:val="20"/>
        </w:rPr>
        <w:t xml:space="preserve"> (G 47.110), leto 2018 zaključila z </w:t>
      </w:r>
      <w:r w:rsidRPr="00127982">
        <w:rPr>
          <w:rFonts w:ascii="Myriad Pro" w:hAnsi="Myriad Pro"/>
          <w:i/>
          <w:sz w:val="20"/>
        </w:rPr>
        <w:t xml:space="preserve">neto čistim </w:t>
      </w:r>
      <w:r>
        <w:rPr>
          <w:rFonts w:ascii="Myriad Pro" w:hAnsi="Myriad Pro"/>
          <w:i/>
          <w:sz w:val="20"/>
        </w:rPr>
        <w:t>d</w:t>
      </w:r>
      <w:r w:rsidRPr="00127982">
        <w:rPr>
          <w:rFonts w:ascii="Myriad Pro" w:hAnsi="Myriad Pro"/>
          <w:i/>
          <w:sz w:val="20"/>
        </w:rPr>
        <w:t>običkom</w:t>
      </w:r>
      <w:r w:rsidRPr="00127982">
        <w:rPr>
          <w:rFonts w:ascii="Myriad Pro" w:hAnsi="Myriad Pro"/>
          <w:sz w:val="20"/>
          <w:vertAlign w:val="superscript"/>
        </w:rPr>
        <w:footnoteReference w:id="9"/>
      </w:r>
      <w:r w:rsidRPr="00127982">
        <w:rPr>
          <w:rFonts w:ascii="Myriad Pro" w:hAnsi="Myriad Pro"/>
          <w:i/>
          <w:sz w:val="20"/>
        </w:rPr>
        <w:t xml:space="preserve"> </w:t>
      </w:r>
      <w:r w:rsidRPr="00127982">
        <w:rPr>
          <w:rFonts w:ascii="Myriad Pro" w:hAnsi="Myriad Pro"/>
          <w:sz w:val="20"/>
        </w:rPr>
        <w:t>v višini 57,8 mio evrov. Do leta 2020 se je ta precej zmanjšal (na 11,4 mio evrov), leta 2021 skokovito povečal na 207,1 mio evrov</w:t>
      </w:r>
      <w:r>
        <w:rPr>
          <w:rFonts w:ascii="Myriad Pro" w:hAnsi="Myriad Pro"/>
          <w:sz w:val="20"/>
        </w:rPr>
        <w:t>, do l</w:t>
      </w:r>
      <w:r w:rsidRPr="00127982">
        <w:rPr>
          <w:rFonts w:ascii="Myriad Pro" w:hAnsi="Myriad Pro"/>
          <w:sz w:val="20"/>
        </w:rPr>
        <w:t xml:space="preserve">ani pa </w:t>
      </w:r>
      <w:r>
        <w:rPr>
          <w:rFonts w:ascii="Myriad Pro" w:hAnsi="Myriad Pro"/>
          <w:sz w:val="20"/>
        </w:rPr>
        <w:t>zmanjšal</w:t>
      </w:r>
      <w:r w:rsidRPr="00127982">
        <w:rPr>
          <w:rFonts w:ascii="Myriad Pro" w:hAnsi="Myriad Pro"/>
          <w:sz w:val="20"/>
        </w:rPr>
        <w:t xml:space="preserve"> na </w:t>
      </w:r>
      <w:r>
        <w:rPr>
          <w:rFonts w:ascii="Myriad Pro" w:hAnsi="Myriad Pro"/>
          <w:sz w:val="20"/>
        </w:rPr>
        <w:t>90,5</w:t>
      </w:r>
      <w:r w:rsidRPr="00127982">
        <w:rPr>
          <w:rFonts w:ascii="Myriad Pro" w:hAnsi="Myriad Pro"/>
          <w:sz w:val="20"/>
        </w:rPr>
        <w:t xml:space="preserve"> mio evrov. Zmanjšanje v letu 2020 je bilo predvsem posledica skoraj podvojene </w:t>
      </w:r>
      <w:r w:rsidRPr="00127982">
        <w:rPr>
          <w:rFonts w:ascii="Myriad Pro" w:hAnsi="Myriad Pro"/>
          <w:i/>
          <w:sz w:val="20"/>
        </w:rPr>
        <w:t>izgube iz financiranja</w:t>
      </w:r>
      <w:r w:rsidRPr="00127982">
        <w:rPr>
          <w:rFonts w:ascii="Myriad Pro" w:hAnsi="Myriad Pro"/>
          <w:i/>
          <w:sz w:val="18"/>
          <w:vertAlign w:val="superscript"/>
        </w:rPr>
        <w:footnoteReference w:id="10"/>
      </w:r>
      <w:r w:rsidRPr="00127982">
        <w:rPr>
          <w:rFonts w:ascii="Myriad Pro" w:hAnsi="Myriad Pro"/>
          <w:sz w:val="20"/>
        </w:rPr>
        <w:t xml:space="preserve">, ki se je v naslednjih </w:t>
      </w:r>
      <w:r>
        <w:rPr>
          <w:rFonts w:ascii="Myriad Pro" w:hAnsi="Myriad Pro"/>
          <w:sz w:val="20"/>
        </w:rPr>
        <w:t>treh</w:t>
      </w:r>
      <w:r w:rsidRPr="00127982">
        <w:rPr>
          <w:rFonts w:ascii="Myriad Pro" w:hAnsi="Myriad Pro"/>
          <w:sz w:val="20"/>
        </w:rPr>
        <w:t xml:space="preserve"> letih precej zmanjšala (iz 101,4 mio evrov v letu 2019 na 48,</w:t>
      </w:r>
      <w:r>
        <w:rPr>
          <w:rFonts w:ascii="Myriad Pro" w:hAnsi="Myriad Pro"/>
          <w:sz w:val="20"/>
        </w:rPr>
        <w:t>2</w:t>
      </w:r>
      <w:r w:rsidRPr="00127982">
        <w:rPr>
          <w:rFonts w:ascii="Myriad Pro" w:hAnsi="Myriad Pro"/>
          <w:sz w:val="20"/>
        </w:rPr>
        <w:t xml:space="preserve"> mio evrov v letu 202</w:t>
      </w:r>
      <w:r>
        <w:rPr>
          <w:rFonts w:ascii="Myriad Pro" w:hAnsi="Myriad Pro"/>
          <w:sz w:val="20"/>
        </w:rPr>
        <w:t>3</w:t>
      </w:r>
      <w:r w:rsidRPr="00127982">
        <w:rPr>
          <w:rFonts w:ascii="Myriad Pro" w:hAnsi="Myriad Pro"/>
          <w:sz w:val="20"/>
        </w:rPr>
        <w:t>), na gibanje v letih 2021–</w:t>
      </w:r>
      <w:r>
        <w:rPr>
          <w:rFonts w:ascii="Myriad Pro" w:hAnsi="Myriad Pro"/>
          <w:sz w:val="20"/>
        </w:rPr>
        <w:t>2023</w:t>
      </w:r>
      <w:r w:rsidRPr="00127982">
        <w:rPr>
          <w:rFonts w:ascii="Myriad Pro" w:hAnsi="Myriad Pro"/>
          <w:sz w:val="20"/>
        </w:rPr>
        <w:t xml:space="preserve"> pa je najbolj vplival </w:t>
      </w:r>
      <w:r w:rsidRPr="00127982">
        <w:rPr>
          <w:rFonts w:ascii="Myriad Pro" w:hAnsi="Myriad Pro"/>
          <w:i/>
          <w:sz w:val="20"/>
        </w:rPr>
        <w:t xml:space="preserve">neto dobiček </w:t>
      </w:r>
      <w:r w:rsidRPr="00127982">
        <w:rPr>
          <w:rFonts w:ascii="Myriad Pro" w:hAnsi="Myriad Pro"/>
          <w:i/>
          <w:sz w:val="20"/>
        </w:rPr>
        <w:lastRenderedPageBreak/>
        <w:t>iz poslovanja</w:t>
      </w:r>
      <w:r w:rsidRPr="00127982">
        <w:rPr>
          <w:rFonts w:ascii="Myriad Pro" w:hAnsi="Myriad Pro"/>
          <w:sz w:val="20"/>
        </w:rPr>
        <w:t xml:space="preserve">. Ta se je že v letu 2020, še bolj pa v letu 2021, močno povečal, na kar je vplivala povečana prodaja zaradi nabav zalog neživil in živil, ki so si jih ljudje naredili predvsem ob prvem valu epidemije in pred zaprtjem javnega življenja ter več prehranjevanja doma zaradi nedelovanja gostinskih obratov </w:t>
      </w:r>
      <w:r w:rsidR="00966C16">
        <w:rPr>
          <w:rFonts w:ascii="Myriad Pro" w:hAnsi="Myriad Pro"/>
          <w:sz w:val="20"/>
        </w:rPr>
        <w:t>in</w:t>
      </w:r>
      <w:r w:rsidRPr="00127982">
        <w:rPr>
          <w:rFonts w:ascii="Myriad Pro" w:hAnsi="Myriad Pro"/>
          <w:sz w:val="20"/>
        </w:rPr>
        <w:t xml:space="preserve"> dela </w:t>
      </w:r>
      <w:r w:rsidR="00966C16">
        <w:rPr>
          <w:rFonts w:ascii="Myriad Pro" w:hAnsi="Myriad Pro"/>
          <w:sz w:val="20"/>
        </w:rPr>
        <w:t>ter</w:t>
      </w:r>
      <w:r w:rsidRPr="00127982">
        <w:rPr>
          <w:rFonts w:ascii="Myriad Pro" w:hAnsi="Myriad Pro"/>
          <w:sz w:val="20"/>
        </w:rPr>
        <w:t xml:space="preserve"> šolanja na daljavo. Poleg večje prodaje v klasičnih trgovinah se je močno povečala tudi spletna prodaja. Po zelo ugodnem poslovnem letu 2021 so se </w:t>
      </w:r>
      <w:r>
        <w:rPr>
          <w:rFonts w:ascii="Myriad Pro" w:hAnsi="Myriad Pro"/>
          <w:sz w:val="20"/>
        </w:rPr>
        <w:t>leta 2022 in 2023</w:t>
      </w:r>
      <w:r w:rsidRPr="00127982">
        <w:rPr>
          <w:rFonts w:ascii="Myriad Pro" w:hAnsi="Myriad Pro"/>
          <w:sz w:val="20"/>
        </w:rPr>
        <w:t xml:space="preserve"> razmere poslovanja zaostrile. Višje nabavne cene so občutneje povečale višino najpomembnejše postavke poslovnih odhodkov trgovcev – strošk</w:t>
      </w:r>
      <w:r>
        <w:rPr>
          <w:rFonts w:ascii="Myriad Pro" w:hAnsi="Myriad Pro"/>
          <w:sz w:val="20"/>
        </w:rPr>
        <w:t>ov</w:t>
      </w:r>
      <w:r w:rsidRPr="00127982">
        <w:rPr>
          <w:rFonts w:ascii="Myriad Pro" w:hAnsi="Myriad Pro"/>
          <w:sz w:val="20"/>
        </w:rPr>
        <w:t xml:space="preserve"> blaga, materiala in storitev, ki pomenijo 83 % vseh poslovnih odhodkov</w:t>
      </w:r>
      <w:r>
        <w:rPr>
          <w:rFonts w:ascii="Myriad Pro" w:hAnsi="Myriad Pro"/>
          <w:sz w:val="20"/>
        </w:rPr>
        <w:t>. Ti</w:t>
      </w:r>
      <w:r w:rsidRPr="00127982">
        <w:rPr>
          <w:rFonts w:ascii="Myriad Pro" w:hAnsi="Myriad Pro"/>
          <w:sz w:val="20"/>
        </w:rPr>
        <w:t xml:space="preserve"> so se</w:t>
      </w:r>
      <w:r>
        <w:rPr>
          <w:rFonts w:ascii="Myriad Pro" w:hAnsi="Myriad Pro"/>
          <w:sz w:val="20"/>
        </w:rPr>
        <w:t xml:space="preserve"> v letu 2022 povečali za 11 %, v letu 2023 pa še za </w:t>
      </w:r>
      <w:r w:rsidRPr="00127982">
        <w:rPr>
          <w:rFonts w:ascii="Myriad Pro" w:hAnsi="Myriad Pro"/>
          <w:sz w:val="20"/>
        </w:rPr>
        <w:t xml:space="preserve">za </w:t>
      </w:r>
      <w:r>
        <w:rPr>
          <w:rFonts w:ascii="Myriad Pro" w:hAnsi="Myriad Pro"/>
          <w:sz w:val="20"/>
        </w:rPr>
        <w:t>9</w:t>
      </w:r>
      <w:r w:rsidRPr="00127982">
        <w:rPr>
          <w:rFonts w:ascii="Myriad Pro" w:hAnsi="Myriad Pro"/>
          <w:sz w:val="20"/>
        </w:rPr>
        <w:t> %. P</w:t>
      </w:r>
      <w:r>
        <w:rPr>
          <w:rFonts w:ascii="Myriad Pro" w:hAnsi="Myriad Pro"/>
          <w:sz w:val="20"/>
        </w:rPr>
        <w:t xml:space="preserve">odobno </w:t>
      </w:r>
      <w:r w:rsidRPr="00127982">
        <w:rPr>
          <w:rFonts w:ascii="Myriad Pro" w:hAnsi="Myriad Pro"/>
          <w:sz w:val="20"/>
        </w:rPr>
        <w:t>se je povečala nabavna vrednost prodanega blaga in materiala (ki sicer vključuje večino, 8</w:t>
      </w:r>
      <w:r>
        <w:rPr>
          <w:rFonts w:ascii="Myriad Pro" w:hAnsi="Myriad Pro"/>
          <w:sz w:val="20"/>
        </w:rPr>
        <w:t>5</w:t>
      </w:r>
      <w:r w:rsidRPr="00127982">
        <w:rPr>
          <w:rFonts w:ascii="Myriad Pro" w:hAnsi="Myriad Pro"/>
          <w:sz w:val="20"/>
        </w:rPr>
        <w:t xml:space="preserve"> %, vseh stroškov blaga, materiala in storitev), stroški porabljenega materiala, kamor spadajo tudi stroški energije, pa </w:t>
      </w:r>
      <w:r>
        <w:rPr>
          <w:rFonts w:ascii="Myriad Pro" w:hAnsi="Myriad Pro"/>
          <w:sz w:val="20"/>
        </w:rPr>
        <w:t xml:space="preserve">so bili leta 2022 večji </w:t>
      </w:r>
      <w:r w:rsidRPr="00127982">
        <w:rPr>
          <w:rFonts w:ascii="Myriad Pro" w:hAnsi="Myriad Pro"/>
          <w:sz w:val="20"/>
        </w:rPr>
        <w:t>za 29 %</w:t>
      </w:r>
      <w:r>
        <w:rPr>
          <w:rFonts w:ascii="Myriad Pro" w:hAnsi="Myriad Pro"/>
          <w:sz w:val="20"/>
        </w:rPr>
        <w:t>, leta 2023 pa še za 20 %</w:t>
      </w:r>
      <w:r w:rsidRPr="00127982">
        <w:rPr>
          <w:rFonts w:ascii="Myriad Pro" w:hAnsi="Myriad Pro"/>
          <w:sz w:val="20"/>
        </w:rPr>
        <w:t>. Ob povečanju stroškov dela za 7 %</w:t>
      </w:r>
      <w:r>
        <w:rPr>
          <w:rFonts w:ascii="Myriad Pro" w:hAnsi="Myriad Pro"/>
          <w:sz w:val="20"/>
        </w:rPr>
        <w:t xml:space="preserve"> in 11 %</w:t>
      </w:r>
      <w:r w:rsidRPr="00127982">
        <w:rPr>
          <w:rFonts w:ascii="Myriad Pro" w:hAnsi="Myriad Pro"/>
          <w:sz w:val="20"/>
        </w:rPr>
        <w:t xml:space="preserve">, na kar je </w:t>
      </w:r>
      <w:r>
        <w:rPr>
          <w:rFonts w:ascii="Myriad Pro" w:hAnsi="Myriad Pro"/>
          <w:sz w:val="20"/>
        </w:rPr>
        <w:t xml:space="preserve">v obeh letih </w:t>
      </w:r>
      <w:r w:rsidRPr="00127982">
        <w:rPr>
          <w:rFonts w:ascii="Myriad Pro" w:hAnsi="Myriad Pro"/>
          <w:sz w:val="20"/>
        </w:rPr>
        <w:t xml:space="preserve">vplivala višja minimalna in povprečna plača, so se poslovni odhodki </w:t>
      </w:r>
      <w:r>
        <w:rPr>
          <w:rFonts w:ascii="Myriad Pro" w:hAnsi="Myriad Pro"/>
          <w:sz w:val="20"/>
        </w:rPr>
        <w:t>v letu 2022 povečali za 10 %, v letu 2023 pa še za 9 %</w:t>
      </w:r>
      <w:r w:rsidRPr="00127982">
        <w:rPr>
          <w:rFonts w:ascii="Myriad Pro" w:hAnsi="Myriad Pro"/>
          <w:sz w:val="20"/>
        </w:rPr>
        <w:t xml:space="preserve">. </w:t>
      </w:r>
      <w:r>
        <w:rPr>
          <w:rFonts w:ascii="Myriad Pro" w:hAnsi="Myriad Pro"/>
          <w:sz w:val="20"/>
        </w:rPr>
        <w:t xml:space="preserve">Po tem ko se je že leta 2022 </w:t>
      </w:r>
      <w:r w:rsidRPr="00127982">
        <w:rPr>
          <w:rFonts w:ascii="Myriad Pro" w:hAnsi="Myriad Pro"/>
          <w:sz w:val="20"/>
        </w:rPr>
        <w:t xml:space="preserve">rast potrošnje preusmerila k storitvam, nakupi hrane, pijače in nekaterih trajnih dobrin </w:t>
      </w:r>
      <w:r>
        <w:rPr>
          <w:rFonts w:ascii="Myriad Pro" w:hAnsi="Myriad Pro"/>
          <w:sz w:val="20"/>
        </w:rPr>
        <w:t xml:space="preserve">pa so bili </w:t>
      </w:r>
      <w:r w:rsidRPr="00127982">
        <w:rPr>
          <w:rFonts w:ascii="Myriad Pro" w:hAnsi="Myriad Pro"/>
          <w:sz w:val="20"/>
        </w:rPr>
        <w:t>racionalnejši</w:t>
      </w:r>
      <w:r>
        <w:rPr>
          <w:rFonts w:ascii="Myriad Pro" w:hAnsi="Myriad Pro"/>
          <w:sz w:val="20"/>
        </w:rPr>
        <w:t>, se je rast potrošnje gospodinjstev lani še umirila</w:t>
      </w:r>
      <w:r w:rsidRPr="00127982">
        <w:rPr>
          <w:rFonts w:ascii="Myriad Pro" w:hAnsi="Myriad Pro"/>
          <w:sz w:val="20"/>
        </w:rPr>
        <w:t xml:space="preserve">. Tako so bili poslovni prihodki oziroma čisti prihodki od prodaje predvsem na račun višjih cen </w:t>
      </w:r>
      <w:r>
        <w:rPr>
          <w:rFonts w:ascii="Myriad Pro" w:hAnsi="Myriad Pro"/>
          <w:sz w:val="20"/>
        </w:rPr>
        <w:t xml:space="preserve">v letih 2022 in 2023 </w:t>
      </w:r>
      <w:r w:rsidRPr="00127982">
        <w:rPr>
          <w:rFonts w:ascii="Myriad Pro" w:hAnsi="Myriad Pro"/>
          <w:sz w:val="20"/>
        </w:rPr>
        <w:t>medletno višji za 8 %, vendar je njihova rast zaostajala za rastjo poslovnih odhodkov, tako da se je dobiček iz poslovanja v letu 2022 zmanjšal za 36 % oz. za 108,2 mio evrov</w:t>
      </w:r>
      <w:r>
        <w:rPr>
          <w:rFonts w:ascii="Myriad Pro" w:hAnsi="Myriad Pro"/>
          <w:sz w:val="20"/>
        </w:rPr>
        <w:t>, leta 2023 pa še za 0,7 mio evrov</w:t>
      </w:r>
      <w:r w:rsidRPr="00127982">
        <w:rPr>
          <w:rFonts w:ascii="Myriad Pro" w:hAnsi="Myriad Pro"/>
          <w:sz w:val="20"/>
        </w:rPr>
        <w:t xml:space="preserve">. </w:t>
      </w:r>
    </w:p>
    <w:p w14:paraId="21BE1BB4" w14:textId="77777777" w:rsidR="00F64621" w:rsidRDefault="00F64621" w:rsidP="00F64621">
      <w:pPr>
        <w:keepNext/>
        <w:keepLines/>
        <w:tabs>
          <w:tab w:val="right" w:leader="dot" w:pos="9070"/>
        </w:tabs>
        <w:spacing w:before="240" w:after="60" w:line="288" w:lineRule="auto"/>
        <w:contextualSpacing/>
        <w:jc w:val="both"/>
        <w:rPr>
          <w:rFonts w:ascii="Myriad Pro" w:hAnsi="Myriad Pro"/>
          <w:b/>
          <w:bCs/>
          <w:noProof/>
          <w:sz w:val="20"/>
          <w:szCs w:val="20"/>
        </w:rPr>
      </w:pPr>
    </w:p>
    <w:p w14:paraId="739A63ED" w14:textId="4C5987DE" w:rsidR="00F64621" w:rsidRPr="00127982" w:rsidRDefault="00F64621" w:rsidP="00F64621">
      <w:pPr>
        <w:keepNext/>
        <w:keepLines/>
        <w:tabs>
          <w:tab w:val="right" w:leader="dot" w:pos="9070"/>
        </w:tabs>
        <w:spacing w:before="240" w:after="60" w:line="288" w:lineRule="auto"/>
        <w:contextualSpacing/>
        <w:jc w:val="both"/>
        <w:rPr>
          <w:rFonts w:ascii="Myriad Pro" w:hAnsi="Myriad Pro"/>
          <w:b/>
          <w:bCs/>
          <w:noProof/>
          <w:sz w:val="20"/>
          <w:szCs w:val="20"/>
        </w:rPr>
      </w:pPr>
      <w:r w:rsidRPr="00127982">
        <w:rPr>
          <w:rFonts w:ascii="Myriad Pro" w:hAnsi="Myriad Pro"/>
          <w:b/>
          <w:bCs/>
          <w:noProof/>
          <w:sz w:val="20"/>
          <w:szCs w:val="20"/>
        </w:rPr>
        <w:t xml:space="preserve">Slika </w:t>
      </w:r>
      <w:r w:rsidRPr="00127982">
        <w:rPr>
          <w:rFonts w:ascii="Myriad Pro" w:hAnsi="Myriad Pro"/>
          <w:b/>
          <w:bCs/>
          <w:noProof/>
          <w:sz w:val="20"/>
          <w:szCs w:val="20"/>
        </w:rPr>
        <w:fldChar w:fldCharType="begin"/>
      </w:r>
      <w:r w:rsidRPr="00127982">
        <w:rPr>
          <w:rFonts w:ascii="Myriad Pro" w:hAnsi="Myriad Pro"/>
          <w:b/>
          <w:bCs/>
          <w:noProof/>
          <w:sz w:val="20"/>
          <w:szCs w:val="20"/>
        </w:rPr>
        <w:instrText xml:space="preserve"> SEQ Slika \* ARABIC </w:instrText>
      </w:r>
      <w:r w:rsidRPr="00127982">
        <w:rPr>
          <w:rFonts w:ascii="Myriad Pro" w:hAnsi="Myriad Pro"/>
          <w:b/>
          <w:bCs/>
          <w:noProof/>
          <w:sz w:val="20"/>
          <w:szCs w:val="20"/>
        </w:rPr>
        <w:fldChar w:fldCharType="separate"/>
      </w:r>
      <w:r>
        <w:rPr>
          <w:rFonts w:ascii="Myriad Pro" w:hAnsi="Myriad Pro"/>
          <w:b/>
          <w:bCs/>
          <w:noProof/>
          <w:sz w:val="20"/>
          <w:szCs w:val="20"/>
        </w:rPr>
        <w:t>10</w:t>
      </w:r>
      <w:r w:rsidRPr="00127982">
        <w:rPr>
          <w:rFonts w:ascii="Myriad Pro" w:hAnsi="Myriad Pro"/>
          <w:b/>
          <w:bCs/>
          <w:noProof/>
          <w:sz w:val="20"/>
          <w:szCs w:val="20"/>
        </w:rPr>
        <w:fldChar w:fldCharType="end"/>
      </w:r>
      <w:r w:rsidRPr="00127982">
        <w:rPr>
          <w:rFonts w:ascii="Myriad Pro" w:hAnsi="Myriad Pro"/>
          <w:b/>
          <w:bCs/>
          <w:noProof/>
          <w:sz w:val="20"/>
          <w:szCs w:val="20"/>
        </w:rPr>
        <w:t xml:space="preserve">: Finančni odhodki iz oslabitev gospodarskih družb v trgovini na drobno v nespecializiranih prodajalnah so se v </w:t>
      </w:r>
      <w:r>
        <w:rPr>
          <w:rFonts w:ascii="Myriad Pro" w:hAnsi="Myriad Pro"/>
          <w:b/>
          <w:bCs/>
          <w:noProof/>
          <w:sz w:val="20"/>
          <w:szCs w:val="20"/>
        </w:rPr>
        <w:t>zadnjih treh letih precej p</w:t>
      </w:r>
      <w:r w:rsidRPr="00127982">
        <w:rPr>
          <w:rFonts w:ascii="Myriad Pro" w:hAnsi="Myriad Pro"/>
          <w:b/>
          <w:bCs/>
          <w:noProof/>
          <w:sz w:val="20"/>
          <w:szCs w:val="20"/>
        </w:rPr>
        <w:t xml:space="preserve">recej zmanjšali </w:t>
      </w:r>
    </w:p>
    <w:p w14:paraId="04F85F22" w14:textId="12C82DD1" w:rsidR="00F64621" w:rsidRPr="00127982" w:rsidRDefault="00F22954" w:rsidP="00F64621">
      <w:pPr>
        <w:keepNext/>
        <w:keepLines/>
        <w:tabs>
          <w:tab w:val="right" w:leader="dot" w:pos="9070"/>
        </w:tabs>
        <w:spacing w:before="240" w:after="60" w:line="288" w:lineRule="auto"/>
        <w:contextualSpacing/>
        <w:jc w:val="both"/>
        <w:rPr>
          <w:rFonts w:ascii="Myriad Pro" w:hAnsi="Myriad Pro"/>
          <w:b/>
          <w:bCs/>
          <w:noProof/>
          <w:sz w:val="20"/>
          <w:szCs w:val="20"/>
        </w:rPr>
      </w:pPr>
      <w:r w:rsidRPr="00F22954">
        <w:rPr>
          <w:noProof/>
        </w:rPr>
        <w:drawing>
          <wp:inline distT="0" distB="0" distL="0" distR="0" wp14:anchorId="47545946" wp14:editId="4AF4EC39">
            <wp:extent cx="5759450" cy="2095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2095500"/>
                    </a:xfrm>
                    <a:prstGeom prst="rect">
                      <a:avLst/>
                    </a:prstGeom>
                    <a:noFill/>
                    <a:ln>
                      <a:noFill/>
                    </a:ln>
                  </pic:spPr>
                </pic:pic>
              </a:graphicData>
            </a:graphic>
          </wp:inline>
        </w:drawing>
      </w:r>
      <w:r w:rsidR="00F64621" w:rsidRPr="00127982">
        <w:rPr>
          <w:rFonts w:ascii="Myriad Pro" w:hAnsi="Myriad Pro"/>
          <w:b/>
          <w:bCs/>
          <w:noProof/>
          <w:sz w:val="20"/>
          <w:szCs w:val="20"/>
        </w:rPr>
        <w:t xml:space="preserve"> </w:t>
      </w:r>
    </w:p>
    <w:p w14:paraId="47663B59" w14:textId="77777777" w:rsidR="00F64621" w:rsidRPr="00127982" w:rsidRDefault="00F64621" w:rsidP="00F64621">
      <w:pPr>
        <w:spacing w:before="40" w:after="0" w:line="240" w:lineRule="auto"/>
        <w:jc w:val="both"/>
        <w:rPr>
          <w:rFonts w:ascii="Myriad Pro" w:hAnsi="Myriad Pro"/>
          <w:sz w:val="16"/>
        </w:rPr>
      </w:pPr>
      <w:r w:rsidRPr="00127982">
        <w:rPr>
          <w:rFonts w:ascii="Myriad Pro" w:hAnsi="Myriad Pro"/>
          <w:sz w:val="16"/>
        </w:rPr>
        <w:t xml:space="preserve">Vir podatkov: </w:t>
      </w:r>
      <w:r w:rsidRPr="00127982">
        <w:rPr>
          <w:rFonts w:ascii="Myriad Pro" w:hAnsi="Myriad Pro"/>
          <w:sz w:val="16"/>
        </w:rPr>
        <w:fldChar w:fldCharType="begin"/>
      </w:r>
      <w:r>
        <w:rPr>
          <w:rFonts w:ascii="Myriad Pro" w:hAnsi="Myriad Pro"/>
          <w:sz w:val="16"/>
        </w:rPr>
        <w:instrText xml:space="preserve"> ADDIN ZOTERO_ITEM CSL_CITATION {"citationID":"O4YZzDuC","properties":{"formattedCitation":"(AJPES, 2024)","plainCitation":"(AJPES, 2024)","noteIndex":0},"citationItems":[{"id":3,"uris":["http://zotero.org/users/8372339/items/IC2SCV5C",["http://zotero.org/users/8372339/items/IC2SCV5C"]],"itemData":{"id":3,"type":"report","event-place":"Ljubljana","publisher":"Agencija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rsidRPr="00127982">
        <w:rPr>
          <w:rFonts w:ascii="Myriad Pro" w:hAnsi="Myriad Pro"/>
          <w:sz w:val="16"/>
        </w:rPr>
        <w:fldChar w:fldCharType="separate"/>
      </w:r>
      <w:r w:rsidRPr="00317ED8">
        <w:rPr>
          <w:rFonts w:ascii="Myriad Pro" w:hAnsi="Myriad Pro"/>
          <w:sz w:val="16"/>
        </w:rPr>
        <w:t xml:space="preserve">AJPES </w:t>
      </w:r>
      <w:r>
        <w:rPr>
          <w:rFonts w:ascii="Myriad Pro" w:hAnsi="Myriad Pro"/>
          <w:sz w:val="16"/>
        </w:rPr>
        <w:t>(</w:t>
      </w:r>
      <w:r w:rsidRPr="00317ED8">
        <w:rPr>
          <w:rFonts w:ascii="Myriad Pro" w:hAnsi="Myriad Pro"/>
          <w:sz w:val="16"/>
        </w:rPr>
        <w:t>2024)</w:t>
      </w:r>
      <w:r w:rsidRPr="00127982">
        <w:rPr>
          <w:rFonts w:ascii="Myriad Pro" w:hAnsi="Myriad Pro"/>
          <w:sz w:val="16"/>
        </w:rPr>
        <w:fldChar w:fldCharType="end"/>
      </w:r>
      <w:r w:rsidRPr="00127982">
        <w:rPr>
          <w:rFonts w:ascii="Myriad Pro" w:hAnsi="Myriad Pro"/>
          <w:sz w:val="16"/>
        </w:rPr>
        <w:t>, lastni izračuni.</w:t>
      </w:r>
    </w:p>
    <w:p w14:paraId="602DB51C" w14:textId="77777777" w:rsidR="00623103" w:rsidRDefault="00623103" w:rsidP="00127982">
      <w:pPr>
        <w:spacing w:after="0" w:line="288" w:lineRule="auto"/>
        <w:jc w:val="both"/>
        <w:rPr>
          <w:rFonts w:ascii="Myriad Pro" w:hAnsi="Myriad Pro"/>
          <w:sz w:val="20"/>
        </w:rPr>
      </w:pPr>
    </w:p>
    <w:p w14:paraId="2C0B951B" w14:textId="338B19E9" w:rsidR="00E87345" w:rsidRDefault="00E87345" w:rsidP="00127982">
      <w:pPr>
        <w:spacing w:after="0" w:line="288" w:lineRule="auto"/>
        <w:jc w:val="both"/>
        <w:rPr>
          <w:rFonts w:ascii="Myriad Pro" w:hAnsi="Myriad Pro"/>
          <w:sz w:val="20"/>
        </w:rPr>
      </w:pPr>
      <w:r w:rsidRPr="00127982">
        <w:rPr>
          <w:rFonts w:ascii="Myriad Pro" w:hAnsi="Myriad Pro"/>
          <w:b/>
          <w:sz w:val="20"/>
        </w:rPr>
        <w:t>Družbe trgovine na drobno v specializiranih prodajalnah z motornimi gorivi</w:t>
      </w:r>
      <w:r>
        <w:rPr>
          <w:rFonts w:ascii="Myriad Pro" w:hAnsi="Myriad Pro"/>
          <w:b/>
          <w:sz w:val="20"/>
        </w:rPr>
        <w:t>, ki</w:t>
      </w:r>
      <w:r w:rsidRPr="00127982">
        <w:rPr>
          <w:rFonts w:ascii="Myriad Pro" w:hAnsi="Myriad Pro"/>
          <w:b/>
          <w:sz w:val="20"/>
        </w:rPr>
        <w:t xml:space="preserve"> so leta 2022 ustvarile le slabo desetino neto čistega dobička iz predhodnega leta</w:t>
      </w:r>
      <w:r>
        <w:rPr>
          <w:rFonts w:ascii="Myriad Pro" w:hAnsi="Myriad Pro"/>
          <w:b/>
          <w:sz w:val="20"/>
        </w:rPr>
        <w:t xml:space="preserve">, so </w:t>
      </w:r>
      <w:r w:rsidR="00A64395">
        <w:rPr>
          <w:rFonts w:ascii="Myriad Pro" w:hAnsi="Myriad Pro"/>
          <w:b/>
          <w:sz w:val="20"/>
        </w:rPr>
        <w:t xml:space="preserve">lani </w:t>
      </w:r>
      <w:r>
        <w:rPr>
          <w:rFonts w:ascii="Myriad Pro" w:hAnsi="Myriad Pro"/>
          <w:b/>
          <w:sz w:val="20"/>
        </w:rPr>
        <w:t>močneje izboljšale poslovanje</w:t>
      </w:r>
      <w:r w:rsidRPr="00127982">
        <w:rPr>
          <w:rFonts w:ascii="Myriad Pro" w:hAnsi="Myriad Pro"/>
          <w:b/>
          <w:sz w:val="20"/>
        </w:rPr>
        <w:t>.</w:t>
      </w:r>
      <w:r w:rsidRPr="00127982">
        <w:rPr>
          <w:rFonts w:ascii="Myriad Pro" w:hAnsi="Myriad Pro"/>
          <w:sz w:val="20"/>
        </w:rPr>
        <w:t xml:space="preserve"> Po </w:t>
      </w:r>
      <w:r>
        <w:rPr>
          <w:rFonts w:ascii="Myriad Pro" w:hAnsi="Myriad Pro"/>
          <w:sz w:val="20"/>
        </w:rPr>
        <w:t>doseženi najvišji vrednosti</w:t>
      </w:r>
      <w:r w:rsidRPr="00127982">
        <w:rPr>
          <w:rFonts w:ascii="Myriad Pro" w:hAnsi="Myriad Pro"/>
          <w:sz w:val="20"/>
        </w:rPr>
        <w:t xml:space="preserve"> v letu 2018 se je </w:t>
      </w:r>
      <w:r w:rsidRPr="00127982">
        <w:rPr>
          <w:rFonts w:ascii="Myriad Pro" w:hAnsi="Myriad Pro"/>
          <w:i/>
          <w:sz w:val="20"/>
        </w:rPr>
        <w:t>neto čisti dobiček</w:t>
      </w:r>
      <w:r w:rsidRPr="00127982">
        <w:rPr>
          <w:rFonts w:ascii="Myriad Pro" w:hAnsi="Myriad Pro"/>
          <w:sz w:val="20"/>
        </w:rPr>
        <w:t xml:space="preserve"> v letu 2019 zmanjšal za skoraj tretjino</w:t>
      </w:r>
      <w:r w:rsidRPr="00127982">
        <w:rPr>
          <w:rFonts w:ascii="Myriad Pro" w:hAnsi="Myriad Pro"/>
          <w:sz w:val="20"/>
          <w:vertAlign w:val="superscript"/>
          <w:lang w:val="en-US"/>
        </w:rPr>
        <w:footnoteReference w:id="11"/>
      </w:r>
      <w:r w:rsidRPr="00127982">
        <w:rPr>
          <w:rFonts w:ascii="Myriad Pro" w:hAnsi="Myriad Pro"/>
          <w:sz w:val="20"/>
        </w:rPr>
        <w:t>, v letu 2020 pa se je predvsem zaradi manjše prodaje ob omejitvah gibanja in delovanja med epidemijo še več kot prepolovil in bil s 41,6 mio evri najnižji po letu 2012. Ob povečanem povpraševanju in s tem v</w:t>
      </w:r>
      <w:r w:rsidR="00AF081D">
        <w:rPr>
          <w:rFonts w:ascii="Myriad Pro" w:hAnsi="Myriad Pro"/>
          <w:sz w:val="20"/>
        </w:rPr>
        <w:t>ečji</w:t>
      </w:r>
      <w:r w:rsidRPr="00127982">
        <w:rPr>
          <w:rFonts w:ascii="Myriad Pro" w:hAnsi="Myriad Pro"/>
          <w:sz w:val="20"/>
        </w:rPr>
        <w:t xml:space="preserve"> prodaji proizvodov iz nafte ter tudi višjih cenah se je leta 2021 močno povečal in znašal 106,3 mio evrov. Poslovanje družb se je </w:t>
      </w:r>
      <w:r>
        <w:rPr>
          <w:rFonts w:ascii="Myriad Pro" w:hAnsi="Myriad Pro"/>
          <w:sz w:val="20"/>
        </w:rPr>
        <w:t>leta 2022</w:t>
      </w:r>
      <w:r w:rsidRPr="00127982">
        <w:rPr>
          <w:rFonts w:ascii="Myriad Pro" w:hAnsi="Myriad Pro"/>
          <w:sz w:val="20"/>
        </w:rPr>
        <w:t xml:space="preserve"> izrazito poslabšalo, na kar je vplivala tudi vladna regulacija cen goriv, električne energije in zemeljskega plina, ki je bila vzpostavljena zaradi visokih cen goriv in energentov ter naraščajoče inflacije. Tudi zaradi visokih nabavnih cen energentov so se poslovni odhodki v letu 2022 skoraj podvojili</w:t>
      </w:r>
      <w:r w:rsidRPr="00127982">
        <w:rPr>
          <w:rFonts w:ascii="Myriad Pro" w:hAnsi="Myriad Pro"/>
          <w:sz w:val="18"/>
          <w:vertAlign w:val="superscript"/>
        </w:rPr>
        <w:footnoteReference w:id="12"/>
      </w:r>
      <w:r w:rsidRPr="00127982">
        <w:rPr>
          <w:rFonts w:ascii="Myriad Pro" w:hAnsi="Myriad Pro"/>
          <w:sz w:val="20"/>
        </w:rPr>
        <w:t xml:space="preserve">, poslovni prihodki pa so se povečali za 91 %. </w:t>
      </w:r>
      <w:r w:rsidRPr="00127982">
        <w:rPr>
          <w:rFonts w:ascii="Myriad Pro" w:hAnsi="Myriad Pro"/>
          <w:i/>
          <w:sz w:val="20"/>
        </w:rPr>
        <w:t>Dobiček iz poslovanja</w:t>
      </w:r>
      <w:r w:rsidRPr="00127982">
        <w:rPr>
          <w:rFonts w:ascii="Myriad Pro" w:hAnsi="Myriad Pro"/>
          <w:sz w:val="20"/>
        </w:rPr>
        <w:t xml:space="preserve"> se je tako zmanjšal za 96 % na rekordno nizkih 5,4 mio evrov. </w:t>
      </w:r>
      <w:r>
        <w:rPr>
          <w:rFonts w:ascii="Myriad Pro" w:hAnsi="Myriad Pro"/>
          <w:sz w:val="20"/>
        </w:rPr>
        <w:t xml:space="preserve">Ob umirjanju nabavnih cen so se poslovni odhodki v letu 2023 zmanjšali za 30 %, kar je ob manjšem zmanjšanju poslovnih prihodkov povečalo dobiček iz poslovanja na 167,6 mio evrov. </w:t>
      </w:r>
      <w:r w:rsidRPr="00127982">
        <w:rPr>
          <w:rFonts w:ascii="Myriad Pro" w:hAnsi="Myriad Pro"/>
          <w:sz w:val="20"/>
        </w:rPr>
        <w:t xml:space="preserve">Ob </w:t>
      </w:r>
      <w:r>
        <w:rPr>
          <w:rFonts w:ascii="Myriad Pro" w:hAnsi="Myriad Pro"/>
          <w:sz w:val="20"/>
        </w:rPr>
        <w:t>nekoliko večji</w:t>
      </w:r>
      <w:r w:rsidRPr="00127982">
        <w:rPr>
          <w:rFonts w:ascii="Myriad Pro" w:hAnsi="Myriad Pro"/>
          <w:sz w:val="20"/>
        </w:rPr>
        <w:t xml:space="preserve"> </w:t>
      </w:r>
      <w:r w:rsidRPr="00127982">
        <w:rPr>
          <w:rFonts w:ascii="Myriad Pro" w:hAnsi="Myriad Pro"/>
          <w:i/>
          <w:sz w:val="20"/>
        </w:rPr>
        <w:t>izgub</w:t>
      </w:r>
      <w:r>
        <w:rPr>
          <w:rFonts w:ascii="Myriad Pro" w:hAnsi="Myriad Pro"/>
          <w:i/>
          <w:sz w:val="20"/>
        </w:rPr>
        <w:t>i</w:t>
      </w:r>
      <w:r w:rsidRPr="00127982">
        <w:rPr>
          <w:rFonts w:ascii="Myriad Pro" w:hAnsi="Myriad Pro"/>
          <w:i/>
          <w:sz w:val="20"/>
        </w:rPr>
        <w:t xml:space="preserve"> </w:t>
      </w:r>
      <w:r w:rsidRPr="00127982">
        <w:rPr>
          <w:rFonts w:ascii="Myriad Pro" w:hAnsi="Myriad Pro"/>
          <w:i/>
          <w:sz w:val="20"/>
        </w:rPr>
        <w:lastRenderedPageBreak/>
        <w:t>iz financiranja</w:t>
      </w:r>
      <w:r w:rsidRPr="00127982">
        <w:rPr>
          <w:rFonts w:ascii="Myriad Pro" w:hAnsi="Myriad Pro"/>
          <w:sz w:val="20"/>
        </w:rPr>
        <w:t xml:space="preserve"> </w:t>
      </w:r>
      <w:r>
        <w:rPr>
          <w:rFonts w:ascii="Myriad Pro" w:hAnsi="Myriad Pro"/>
          <w:sz w:val="20"/>
        </w:rPr>
        <w:t>kot v preteklem letu</w:t>
      </w:r>
      <w:r w:rsidRPr="00127982">
        <w:rPr>
          <w:rFonts w:ascii="Myriad Pro" w:hAnsi="Myriad Pro"/>
          <w:sz w:val="20"/>
        </w:rPr>
        <w:t xml:space="preserve"> so družbe poslovno leto zaključile z neto čistim dobičkom v višini </w:t>
      </w:r>
      <w:r>
        <w:rPr>
          <w:rFonts w:ascii="Myriad Pro" w:hAnsi="Myriad Pro"/>
          <w:sz w:val="20"/>
        </w:rPr>
        <w:t xml:space="preserve">135,4 mio evrov (v letu 2022 pa </w:t>
      </w:r>
      <w:r w:rsidRPr="00127982">
        <w:rPr>
          <w:rFonts w:ascii="Myriad Pro" w:hAnsi="Myriad Pro"/>
          <w:sz w:val="20"/>
        </w:rPr>
        <w:t>8,7 mio evrov</w:t>
      </w:r>
      <w:r>
        <w:rPr>
          <w:rFonts w:ascii="Myriad Pro" w:hAnsi="Myriad Pro"/>
          <w:sz w:val="20"/>
        </w:rPr>
        <w:t>).</w:t>
      </w:r>
    </w:p>
    <w:p w14:paraId="5C0E4A27" w14:textId="77777777" w:rsidR="00F64621" w:rsidRDefault="00F64621" w:rsidP="00127982">
      <w:pPr>
        <w:spacing w:after="0" w:line="288" w:lineRule="auto"/>
        <w:jc w:val="both"/>
        <w:rPr>
          <w:rFonts w:ascii="Myriad Pro" w:hAnsi="Myriad Pro"/>
          <w:sz w:val="20"/>
        </w:rPr>
      </w:pPr>
    </w:p>
    <w:tbl>
      <w:tblPr>
        <w:tblStyle w:val="UMARokvir1"/>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tblBorders>
        <w:tblCellMar>
          <w:top w:w="142" w:type="dxa"/>
        </w:tblCellMar>
        <w:tblLook w:val="04A0" w:firstRow="1" w:lastRow="0" w:firstColumn="1" w:lastColumn="0" w:noHBand="0" w:noVBand="1"/>
      </w:tblPr>
      <w:tblGrid>
        <w:gridCol w:w="9064"/>
      </w:tblGrid>
      <w:tr w:rsidR="00623103" w:rsidRPr="00127982" w14:paraId="58E70A63" w14:textId="77777777" w:rsidTr="002B0AE0">
        <w:tc>
          <w:tcPr>
            <w:tcW w:w="9060" w:type="dxa"/>
          </w:tcPr>
          <w:p w14:paraId="07AD5F3D" w14:textId="77777777" w:rsidR="00623103" w:rsidRPr="00127982" w:rsidRDefault="00623103" w:rsidP="001A00A5">
            <w:pPr>
              <w:keepNext/>
              <w:keepLines/>
              <w:tabs>
                <w:tab w:val="right" w:leader="dot" w:pos="9070"/>
              </w:tabs>
              <w:spacing w:before="240" w:after="60" w:line="288" w:lineRule="auto"/>
              <w:contextualSpacing/>
              <w:jc w:val="both"/>
              <w:rPr>
                <w:rFonts w:ascii="Myriad Pro" w:hAnsi="Myriad Pro"/>
                <w:b/>
                <w:bCs/>
                <w:noProof/>
                <w:sz w:val="20"/>
                <w:szCs w:val="20"/>
              </w:rPr>
            </w:pPr>
            <w:r w:rsidRPr="00127982">
              <w:rPr>
                <w:rFonts w:ascii="Myriad Pro" w:hAnsi="Myriad Pro"/>
                <w:b/>
                <w:sz w:val="20"/>
              </w:rPr>
              <w:br w:type="page"/>
            </w:r>
            <w:r w:rsidRPr="00127982">
              <w:rPr>
                <w:rFonts w:ascii="Myriad Pro" w:hAnsi="Myriad Pro"/>
                <w:b/>
                <w:bCs/>
                <w:noProof/>
                <w:sz w:val="20"/>
                <w:szCs w:val="20"/>
              </w:rPr>
              <w:t xml:space="preserve">Okvir </w:t>
            </w:r>
            <w:r w:rsidRPr="00127982">
              <w:rPr>
                <w:rFonts w:ascii="Myriad Pro" w:hAnsi="Myriad Pro"/>
                <w:b/>
                <w:bCs/>
                <w:noProof/>
                <w:sz w:val="20"/>
                <w:szCs w:val="20"/>
              </w:rPr>
              <w:fldChar w:fldCharType="begin"/>
            </w:r>
            <w:r w:rsidRPr="00127982">
              <w:rPr>
                <w:rFonts w:ascii="Myriad Pro" w:hAnsi="Myriad Pro"/>
                <w:b/>
                <w:bCs/>
                <w:noProof/>
                <w:sz w:val="20"/>
                <w:szCs w:val="20"/>
              </w:rPr>
              <w:instrText xml:space="preserve"> SEQ Okvir \* ARABIC </w:instrText>
            </w:r>
            <w:r w:rsidRPr="00127982">
              <w:rPr>
                <w:rFonts w:ascii="Myriad Pro" w:hAnsi="Myriad Pro"/>
                <w:b/>
                <w:bCs/>
                <w:noProof/>
                <w:sz w:val="20"/>
                <w:szCs w:val="20"/>
              </w:rPr>
              <w:fldChar w:fldCharType="separate"/>
            </w:r>
            <w:r>
              <w:rPr>
                <w:rFonts w:ascii="Myriad Pro" w:hAnsi="Myriad Pro"/>
                <w:b/>
                <w:bCs/>
                <w:noProof/>
                <w:sz w:val="20"/>
                <w:szCs w:val="20"/>
              </w:rPr>
              <w:t>1</w:t>
            </w:r>
            <w:r w:rsidRPr="00127982">
              <w:rPr>
                <w:rFonts w:ascii="Myriad Pro" w:hAnsi="Myriad Pro"/>
                <w:b/>
                <w:bCs/>
                <w:noProof/>
                <w:sz w:val="20"/>
                <w:szCs w:val="20"/>
              </w:rPr>
              <w:fldChar w:fldCharType="end"/>
            </w:r>
            <w:r w:rsidRPr="00127982">
              <w:rPr>
                <w:rFonts w:ascii="Myriad Pro" w:hAnsi="Myriad Pro"/>
                <w:b/>
                <w:bCs/>
                <w:noProof/>
                <w:sz w:val="20"/>
                <w:szCs w:val="20"/>
              </w:rPr>
              <w:t xml:space="preserve"> </w:t>
            </w:r>
            <w:r w:rsidRPr="00631879">
              <w:rPr>
                <w:rFonts w:ascii="Myriad Pro" w:hAnsi="Myriad Pro"/>
                <w:b/>
                <w:bCs/>
                <w:noProof/>
                <w:sz w:val="20"/>
                <w:szCs w:val="20"/>
              </w:rPr>
              <w:t>: Koncentracija v nespecializiranih</w:t>
            </w:r>
            <w:r w:rsidRPr="00127982">
              <w:rPr>
                <w:rFonts w:ascii="Myriad Pro" w:hAnsi="Myriad Pro"/>
                <w:b/>
                <w:bCs/>
                <w:noProof/>
                <w:sz w:val="20"/>
                <w:szCs w:val="20"/>
              </w:rPr>
              <w:t xml:space="preserve"> pretežno živilskih prodajalnah na drobno</w:t>
            </w:r>
          </w:p>
          <w:p w14:paraId="212B5338" w14:textId="77777777" w:rsidR="00623103" w:rsidRPr="00127982" w:rsidRDefault="00623103" w:rsidP="001A00A5">
            <w:pPr>
              <w:spacing w:after="0" w:line="288" w:lineRule="auto"/>
              <w:jc w:val="both"/>
              <w:rPr>
                <w:rFonts w:ascii="Myriad Pro" w:hAnsi="Myriad Pro"/>
                <w:sz w:val="20"/>
              </w:rPr>
            </w:pPr>
          </w:p>
          <w:p w14:paraId="16245DB1" w14:textId="280EC855" w:rsidR="00623103" w:rsidRDefault="00623103" w:rsidP="001A00A5">
            <w:pPr>
              <w:spacing w:after="0" w:line="288" w:lineRule="auto"/>
              <w:jc w:val="both"/>
              <w:rPr>
                <w:rFonts w:ascii="Myriad Pro" w:hAnsi="Myriad Pro"/>
                <w:sz w:val="20"/>
              </w:rPr>
            </w:pPr>
            <w:r w:rsidRPr="00127982">
              <w:rPr>
                <w:rFonts w:ascii="Myriad Pro" w:hAnsi="Myriad Pro"/>
                <w:b/>
                <w:sz w:val="20"/>
              </w:rPr>
              <w:t>Zmanjševanje koncentracije pretežno živilskih prodajaln v Sloveniji,</w:t>
            </w:r>
            <w:r>
              <w:rPr>
                <w:rFonts w:ascii="Myriad Pro" w:hAnsi="Myriad Pro"/>
                <w:b/>
                <w:sz w:val="20"/>
              </w:rPr>
              <w:t xml:space="preserve"> prisotno od</w:t>
            </w:r>
            <w:r w:rsidRPr="00127982">
              <w:rPr>
                <w:rFonts w:ascii="Myriad Pro" w:hAnsi="Myriad Pro"/>
                <w:b/>
                <w:sz w:val="20"/>
              </w:rPr>
              <w:t xml:space="preserve"> leta 2007, se je po</w:t>
            </w:r>
            <w:r w:rsidR="0065742B">
              <w:rPr>
                <w:rFonts w:ascii="Myriad Pro" w:hAnsi="Myriad Pro"/>
                <w:b/>
                <w:sz w:val="20"/>
              </w:rPr>
              <w:t xml:space="preserve"> </w:t>
            </w:r>
            <w:r w:rsidRPr="00127982">
              <w:rPr>
                <w:rFonts w:ascii="Myriad Pro" w:hAnsi="Myriad Pro"/>
                <w:b/>
                <w:sz w:val="20"/>
              </w:rPr>
              <w:t>nihanjih med epidemijo v letu 202</w:t>
            </w:r>
            <w:r>
              <w:rPr>
                <w:rFonts w:ascii="Myriad Pro" w:hAnsi="Myriad Pro"/>
                <w:b/>
                <w:sz w:val="20"/>
              </w:rPr>
              <w:t>3</w:t>
            </w:r>
            <w:r w:rsidRPr="00127982">
              <w:rPr>
                <w:rFonts w:ascii="Myriad Pro" w:hAnsi="Myriad Pro"/>
                <w:b/>
                <w:sz w:val="20"/>
              </w:rPr>
              <w:t xml:space="preserve"> nadaljevalo. </w:t>
            </w:r>
            <w:r w:rsidRPr="00127982">
              <w:rPr>
                <w:rFonts w:ascii="Myriad Pro" w:hAnsi="Myriad Pro"/>
                <w:sz w:val="20"/>
              </w:rPr>
              <w:t>Za nespecializirane prodajalne, ki pretežno prodajajo živila (hipermarketi, marketi, diskonti …)</w:t>
            </w:r>
            <w:r w:rsidRPr="00127982">
              <w:rPr>
                <w:rFonts w:ascii="Myriad Pro" w:hAnsi="Myriad Pro"/>
                <w:sz w:val="20"/>
                <w:vertAlign w:val="superscript"/>
              </w:rPr>
              <w:footnoteReference w:id="13"/>
            </w:r>
            <w:r w:rsidRPr="00127982">
              <w:rPr>
                <w:rFonts w:ascii="Myriad Pro" w:hAnsi="Myriad Pro"/>
                <w:sz w:val="20"/>
              </w:rPr>
              <w:t>, je bila po letu 2000 značilna krepitev koncentracije, ki je bila posledica propadanja manjših družb oz. njihovega povezovanja ali prevzemanja s strani večjih podjetij. Stopnja koncentracije, merjena s Hirschman-Herfindahlovim indeksom (HHI), je v tej panogi leta 2005 presegla mejo visoke koncentracije (1800). Potem ko je leta 2006 dosegla najvišjo vrednost (3387), se je v naslednjih letih zniževala in leta 2017 z vrednostjo 1798 prvič padla pod mejo visoke koncentracije (1800). Leta 2018 se je še nekoliko znižala in ostala podobna tudi v 2019. Zniževanje koncentracije je bil</w:t>
            </w:r>
            <w:r w:rsidR="009B098D">
              <w:rPr>
                <w:rFonts w:ascii="Myriad Pro" w:hAnsi="Myriad Pro"/>
                <w:sz w:val="20"/>
              </w:rPr>
              <w:t>o</w:t>
            </w:r>
            <w:r w:rsidRPr="00127982">
              <w:rPr>
                <w:rFonts w:ascii="Myriad Pro" w:hAnsi="Myriad Pro"/>
                <w:sz w:val="20"/>
              </w:rPr>
              <w:t xml:space="preserve"> predvsem posledica krepitve prodaje v diskontih, ki so na slovenski trg vstopili v letih 2005 in 2007. Ti so s širitvijo svojih poslovnih mrež in spreminjanjem nakupovalnih navad kupcev, do katerih je prišlo tudi zaradi gospodarske krize, v letu 2019 skupaj ustvarili 27,7 % celotnega prihodka od prodaje panoge na slovenskem trgu (leta 2007 6,5 %, v letu 2018 26,4 %). Delež največjih treh tradicionalnih družb v prihodku panoge se je tako v dobrem desetletju močno znižal (z 82,9 % leta 2007 na 61,1 % v letu 2019). Ob razmahu epidemije covida-19 v letu 2020 so se razmere močno spremenile. Delež prodaje v treh največjih tradicionalnih trgovinah v čistih prihodkih od prodaje panoge se je prvič po dolgih letih povečal (na 63,8 %), na kar so najverjetneje med drugim vplivale tudi večje možnosti dostopa do spletnih trgovin oz. dostave in večja razpredenost trgovin, kar je bilo predvsem pomembno v časih, ko je bilo gibanje omejeno na občine in/ali pokrajine, ter ob karanteni in obolevnosti. Delež se je nato v letu 2021, ob manj pogostih omejitvah gibanja, in nadalje še v let</w:t>
            </w:r>
            <w:r>
              <w:rPr>
                <w:rFonts w:ascii="Myriad Pro" w:hAnsi="Myriad Pro"/>
                <w:sz w:val="20"/>
              </w:rPr>
              <w:t>ih</w:t>
            </w:r>
            <w:r w:rsidRPr="00127982">
              <w:rPr>
                <w:rFonts w:ascii="Myriad Pro" w:hAnsi="Myriad Pro"/>
                <w:sz w:val="20"/>
              </w:rPr>
              <w:t xml:space="preserve"> 2022</w:t>
            </w:r>
            <w:r>
              <w:rPr>
                <w:rFonts w:ascii="Myriad Pro" w:hAnsi="Myriad Pro"/>
                <w:sz w:val="20"/>
              </w:rPr>
              <w:t xml:space="preserve"> in 2023</w:t>
            </w:r>
            <w:r w:rsidRPr="00127982">
              <w:rPr>
                <w:rFonts w:ascii="Myriad Pro" w:hAnsi="Myriad Pro"/>
                <w:sz w:val="20"/>
              </w:rPr>
              <w:t xml:space="preserve"> ponovno zmanjšal in padel pod 60 % (5</w:t>
            </w:r>
            <w:r>
              <w:rPr>
                <w:rFonts w:ascii="Myriad Pro" w:hAnsi="Myriad Pro"/>
                <w:sz w:val="20"/>
              </w:rPr>
              <w:t>6 </w:t>
            </w:r>
            <w:r w:rsidRPr="00127982">
              <w:rPr>
                <w:rFonts w:ascii="Myriad Pro" w:hAnsi="Myriad Pro"/>
                <w:sz w:val="20"/>
              </w:rPr>
              <w:t>% v letu 202</w:t>
            </w:r>
            <w:r>
              <w:rPr>
                <w:rFonts w:ascii="Myriad Pro" w:hAnsi="Myriad Pro"/>
                <w:sz w:val="20"/>
              </w:rPr>
              <w:t>3</w:t>
            </w:r>
            <w:r w:rsidRPr="00127982">
              <w:rPr>
                <w:rFonts w:ascii="Myriad Pro" w:hAnsi="Myriad Pro"/>
                <w:sz w:val="20"/>
              </w:rPr>
              <w:t xml:space="preserve">). Ob tem se je delež diskontov povečeval </w:t>
            </w:r>
            <w:r>
              <w:rPr>
                <w:rFonts w:ascii="Myriad Pro" w:hAnsi="Myriad Pro"/>
                <w:sz w:val="20"/>
              </w:rPr>
              <w:t xml:space="preserve">in </w:t>
            </w:r>
            <w:r w:rsidRPr="00127982">
              <w:rPr>
                <w:rFonts w:ascii="Myriad Pro" w:hAnsi="Myriad Pro"/>
                <w:sz w:val="20"/>
              </w:rPr>
              <w:t>v letu 202</w:t>
            </w:r>
            <w:r>
              <w:rPr>
                <w:rFonts w:ascii="Myriad Pro" w:hAnsi="Myriad Pro"/>
                <w:sz w:val="20"/>
              </w:rPr>
              <w:t>3</w:t>
            </w:r>
            <w:r w:rsidRPr="00127982">
              <w:rPr>
                <w:rFonts w:ascii="Myriad Pro" w:hAnsi="Myriad Pro"/>
                <w:sz w:val="20"/>
              </w:rPr>
              <w:t xml:space="preserve"> znašal 3</w:t>
            </w:r>
            <w:r>
              <w:rPr>
                <w:rFonts w:ascii="Myriad Pro" w:hAnsi="Myriad Pro"/>
                <w:sz w:val="20"/>
              </w:rPr>
              <w:t>4</w:t>
            </w:r>
            <w:r w:rsidRPr="00127982">
              <w:rPr>
                <w:rFonts w:ascii="Myriad Pro" w:hAnsi="Myriad Pro"/>
                <w:sz w:val="20"/>
              </w:rPr>
              <w:t>,</w:t>
            </w:r>
            <w:r>
              <w:rPr>
                <w:rFonts w:ascii="Myriad Pro" w:hAnsi="Myriad Pro"/>
                <w:sz w:val="20"/>
              </w:rPr>
              <w:t>8</w:t>
            </w:r>
            <w:r w:rsidRPr="00127982">
              <w:rPr>
                <w:rFonts w:ascii="Myriad Pro" w:hAnsi="Myriad Pro"/>
                <w:sz w:val="20"/>
              </w:rPr>
              <w:t> %. Stopnja koncentracije, merjena s Hirschman-Herfindahlovim indeksom (HHI), je bila tako, po nihanju med epidemijo, leta 202</w:t>
            </w:r>
            <w:r>
              <w:rPr>
                <w:rFonts w:ascii="Myriad Pro" w:hAnsi="Myriad Pro"/>
                <w:sz w:val="20"/>
              </w:rPr>
              <w:t>3</w:t>
            </w:r>
            <w:r w:rsidRPr="00127982">
              <w:rPr>
                <w:rFonts w:ascii="Myriad Pro" w:hAnsi="Myriad Pro"/>
                <w:sz w:val="20"/>
              </w:rPr>
              <w:t xml:space="preserve"> z vrednostjo 1</w:t>
            </w:r>
            <w:r>
              <w:rPr>
                <w:rFonts w:ascii="Myriad Pro" w:hAnsi="Myriad Pro"/>
                <w:sz w:val="20"/>
              </w:rPr>
              <w:t>536</w:t>
            </w:r>
            <w:r w:rsidRPr="00127982">
              <w:rPr>
                <w:rFonts w:ascii="Myriad Pro" w:hAnsi="Myriad Pro"/>
                <w:sz w:val="20"/>
              </w:rPr>
              <w:t xml:space="preserve"> nižja kot leta 2019 in </w:t>
            </w:r>
            <w:r>
              <w:rPr>
                <w:rFonts w:ascii="Myriad Pro" w:hAnsi="Myriad Pro"/>
                <w:sz w:val="20"/>
              </w:rPr>
              <w:t>najnižja po letu 2005.</w:t>
            </w:r>
          </w:p>
          <w:p w14:paraId="0C2B1AAF" w14:textId="77777777" w:rsidR="00623103" w:rsidRPr="00127982" w:rsidRDefault="00623103" w:rsidP="001A00A5">
            <w:pPr>
              <w:spacing w:after="0" w:line="288" w:lineRule="auto"/>
              <w:jc w:val="both"/>
              <w:rPr>
                <w:rFonts w:ascii="Myriad Pro" w:hAnsi="Myriad Pro"/>
                <w:sz w:val="20"/>
              </w:rPr>
            </w:pPr>
          </w:p>
          <w:p w14:paraId="6CAB54B5" w14:textId="611F558E" w:rsidR="00623103" w:rsidRPr="00127982" w:rsidRDefault="00623103" w:rsidP="001A00A5">
            <w:pPr>
              <w:keepNext/>
              <w:keepLines/>
              <w:tabs>
                <w:tab w:val="right" w:leader="dot" w:pos="9070"/>
              </w:tabs>
              <w:spacing w:before="240" w:after="60" w:line="288" w:lineRule="auto"/>
              <w:contextualSpacing/>
              <w:jc w:val="both"/>
              <w:rPr>
                <w:rFonts w:ascii="Myriad Pro" w:hAnsi="Myriad Pro"/>
                <w:b/>
                <w:bCs/>
                <w:noProof/>
                <w:sz w:val="20"/>
                <w:szCs w:val="20"/>
              </w:rPr>
            </w:pPr>
            <w:r w:rsidRPr="00127982">
              <w:rPr>
                <w:rFonts w:ascii="Myriad Pro" w:hAnsi="Myriad Pro"/>
                <w:b/>
                <w:bCs/>
                <w:noProof/>
                <w:sz w:val="20"/>
                <w:szCs w:val="20"/>
              </w:rPr>
              <w:t xml:space="preserve">Slika </w:t>
            </w:r>
            <w:r w:rsidRPr="00127982">
              <w:rPr>
                <w:rFonts w:ascii="Myriad Pro" w:hAnsi="Myriad Pro"/>
                <w:b/>
                <w:bCs/>
                <w:noProof/>
                <w:sz w:val="20"/>
                <w:szCs w:val="20"/>
              </w:rPr>
              <w:fldChar w:fldCharType="begin"/>
            </w:r>
            <w:r w:rsidRPr="00127982">
              <w:rPr>
                <w:rFonts w:ascii="Myriad Pro" w:hAnsi="Myriad Pro"/>
                <w:b/>
                <w:bCs/>
                <w:noProof/>
                <w:sz w:val="20"/>
                <w:szCs w:val="20"/>
              </w:rPr>
              <w:instrText xml:space="preserve"> SEQ Slika \* ARABIC </w:instrText>
            </w:r>
            <w:r w:rsidRPr="00127982">
              <w:rPr>
                <w:rFonts w:ascii="Myriad Pro" w:hAnsi="Myriad Pro"/>
                <w:b/>
                <w:bCs/>
                <w:noProof/>
                <w:sz w:val="20"/>
                <w:szCs w:val="20"/>
              </w:rPr>
              <w:fldChar w:fldCharType="separate"/>
            </w:r>
            <w:r w:rsidR="00FF4B94">
              <w:rPr>
                <w:rFonts w:ascii="Myriad Pro" w:hAnsi="Myriad Pro"/>
                <w:b/>
                <w:bCs/>
                <w:noProof/>
                <w:sz w:val="20"/>
                <w:szCs w:val="20"/>
              </w:rPr>
              <w:t>11</w:t>
            </w:r>
            <w:r w:rsidRPr="00127982">
              <w:rPr>
                <w:rFonts w:ascii="Myriad Pro" w:hAnsi="Myriad Pro"/>
                <w:b/>
                <w:bCs/>
                <w:noProof/>
                <w:sz w:val="20"/>
                <w:szCs w:val="20"/>
              </w:rPr>
              <w:fldChar w:fldCharType="end"/>
            </w:r>
            <w:r w:rsidRPr="00127982">
              <w:rPr>
                <w:rFonts w:ascii="Myriad Pro" w:hAnsi="Myriad Pro"/>
                <w:b/>
                <w:bCs/>
                <w:noProof/>
                <w:sz w:val="20"/>
                <w:szCs w:val="20"/>
              </w:rPr>
              <w:t>: Koncentracija družb v nespecializiranih, pretežno živilskih</w:t>
            </w:r>
            <w:r w:rsidR="00C21503">
              <w:rPr>
                <w:rFonts w:ascii="Myriad Pro" w:hAnsi="Myriad Pro"/>
                <w:b/>
                <w:bCs/>
                <w:noProof/>
                <w:sz w:val="20"/>
                <w:szCs w:val="20"/>
              </w:rPr>
              <w:t>,</w:t>
            </w:r>
            <w:r w:rsidRPr="00127982">
              <w:rPr>
                <w:rFonts w:ascii="Myriad Pro" w:hAnsi="Myriad Pro"/>
                <w:b/>
                <w:bCs/>
                <w:noProof/>
                <w:sz w:val="20"/>
                <w:szCs w:val="20"/>
              </w:rPr>
              <w:t xml:space="preserve"> prodajalnah na drobno se je, po nihanjih </w:t>
            </w:r>
            <w:r>
              <w:rPr>
                <w:rFonts w:ascii="Myriad Pro" w:hAnsi="Myriad Pro"/>
                <w:b/>
                <w:bCs/>
                <w:noProof/>
                <w:sz w:val="20"/>
                <w:szCs w:val="20"/>
              </w:rPr>
              <w:t>med epidemijo</w:t>
            </w:r>
            <w:r w:rsidRPr="00127982">
              <w:rPr>
                <w:rFonts w:ascii="Myriad Pro" w:hAnsi="Myriad Pro"/>
                <w:b/>
                <w:bCs/>
                <w:noProof/>
                <w:sz w:val="20"/>
                <w:szCs w:val="20"/>
              </w:rPr>
              <w:t>, v letu 202</w:t>
            </w:r>
            <w:r>
              <w:rPr>
                <w:rFonts w:ascii="Myriad Pro" w:hAnsi="Myriad Pro"/>
                <w:b/>
                <w:bCs/>
                <w:noProof/>
                <w:sz w:val="20"/>
                <w:szCs w:val="20"/>
              </w:rPr>
              <w:t>3</w:t>
            </w:r>
            <w:r w:rsidRPr="00127982">
              <w:rPr>
                <w:rFonts w:ascii="Myriad Pro" w:hAnsi="Myriad Pro"/>
                <w:b/>
                <w:bCs/>
                <w:noProof/>
                <w:sz w:val="20"/>
                <w:szCs w:val="20"/>
              </w:rPr>
              <w:t xml:space="preserve"> nadalje zmanjšala</w:t>
            </w:r>
          </w:p>
          <w:p w14:paraId="03DD993F" w14:textId="2A1D1C76" w:rsidR="00623103" w:rsidRPr="00127982" w:rsidRDefault="00A57DD1" w:rsidP="001A00A5">
            <w:pPr>
              <w:spacing w:after="0" w:line="288" w:lineRule="auto"/>
              <w:jc w:val="both"/>
              <w:rPr>
                <w:rFonts w:ascii="Myriad Pro" w:hAnsi="Myriad Pro"/>
                <w:sz w:val="20"/>
              </w:rPr>
            </w:pPr>
            <w:r w:rsidRPr="00A57DD1">
              <w:rPr>
                <w:rFonts w:ascii="Myriad Pro" w:hAnsi="Myriad Pro"/>
                <w:noProof/>
                <w:sz w:val="20"/>
              </w:rPr>
              <w:drawing>
                <wp:inline distT="0" distB="0" distL="0" distR="0" wp14:anchorId="30FD47D5" wp14:editId="257876EF">
                  <wp:extent cx="5464454" cy="2092325"/>
                  <wp:effectExtent l="0" t="0" r="317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69834" cy="2094385"/>
                          </a:xfrm>
                          <a:prstGeom prst="rect">
                            <a:avLst/>
                          </a:prstGeom>
                          <a:noFill/>
                          <a:ln>
                            <a:noFill/>
                          </a:ln>
                        </pic:spPr>
                      </pic:pic>
                    </a:graphicData>
                  </a:graphic>
                </wp:inline>
              </w:drawing>
            </w:r>
          </w:p>
          <w:p w14:paraId="045C02E0" w14:textId="0EAC7818" w:rsidR="00623103" w:rsidRPr="00127982" w:rsidRDefault="00623103" w:rsidP="00C44361">
            <w:pPr>
              <w:spacing w:before="40" w:after="120" w:line="240" w:lineRule="auto"/>
              <w:jc w:val="both"/>
              <w:rPr>
                <w:rFonts w:ascii="Myriad Pro" w:hAnsi="Myriad Pro"/>
                <w:sz w:val="16"/>
              </w:rPr>
            </w:pPr>
            <w:r w:rsidRPr="00127982">
              <w:rPr>
                <w:rFonts w:ascii="Myriad Pro" w:hAnsi="Myriad Pro"/>
                <w:sz w:val="16"/>
              </w:rPr>
              <w:t xml:space="preserve">Vir podatkov: </w:t>
            </w:r>
            <w:r w:rsidRPr="00127982">
              <w:rPr>
                <w:rFonts w:ascii="Myriad Pro" w:hAnsi="Myriad Pro"/>
                <w:sz w:val="16"/>
              </w:rPr>
              <w:fldChar w:fldCharType="begin"/>
            </w:r>
            <w:r>
              <w:rPr>
                <w:rFonts w:ascii="Myriad Pro" w:hAnsi="Myriad Pro"/>
                <w:sz w:val="16"/>
              </w:rPr>
              <w:instrText xml:space="preserve"> ADDIN ZOTERO_ITEM CSL_CITATION {"citationID":"HwXdOs7b","properties":{"formattedCitation":"(AJPES, 2024)","plainCitation":"(AJPES, 2024)","noteIndex":0},"citationItems":[{"id":3,"uris":["http://zotero.org/users/8372339/items/IC2SCV5C",["http://zotero.org/users/8372339/items/IC2SCV5C"]],"itemData":{"id":3,"type":"report","event-place":"Ljubljana","publisher":"Agencija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rsidRPr="00127982">
              <w:rPr>
                <w:rFonts w:ascii="Myriad Pro" w:hAnsi="Myriad Pro"/>
                <w:sz w:val="16"/>
              </w:rPr>
              <w:fldChar w:fldCharType="separate"/>
            </w:r>
            <w:r w:rsidRPr="00317ED8">
              <w:rPr>
                <w:rFonts w:ascii="Myriad Pro" w:hAnsi="Myriad Pro"/>
                <w:sz w:val="16"/>
              </w:rPr>
              <w:t xml:space="preserve">AJPES </w:t>
            </w:r>
            <w:r>
              <w:rPr>
                <w:rFonts w:ascii="Myriad Pro" w:hAnsi="Myriad Pro"/>
                <w:sz w:val="16"/>
              </w:rPr>
              <w:t>(</w:t>
            </w:r>
            <w:r w:rsidRPr="00317ED8">
              <w:rPr>
                <w:rFonts w:ascii="Myriad Pro" w:hAnsi="Myriad Pro"/>
                <w:sz w:val="16"/>
              </w:rPr>
              <w:t>2024)</w:t>
            </w:r>
            <w:r w:rsidRPr="00127982">
              <w:rPr>
                <w:rFonts w:ascii="Myriad Pro" w:hAnsi="Myriad Pro"/>
                <w:sz w:val="16"/>
              </w:rPr>
              <w:fldChar w:fldCharType="end"/>
            </w:r>
            <w:r w:rsidRPr="00127982">
              <w:rPr>
                <w:rFonts w:ascii="Myriad Pro" w:hAnsi="Myriad Pro"/>
                <w:sz w:val="16"/>
              </w:rPr>
              <w:t xml:space="preserve">, lastni izračuni. Opomba: HHI – Hirschman-Herfindahlov indeks koncentracije. </w:t>
            </w:r>
          </w:p>
        </w:tc>
      </w:tr>
    </w:tbl>
    <w:p w14:paraId="2FB2C939" w14:textId="077063A9" w:rsidR="00127982" w:rsidRPr="00127982" w:rsidRDefault="00127982" w:rsidP="00127982">
      <w:pPr>
        <w:keepNext/>
        <w:keepLines/>
        <w:tabs>
          <w:tab w:val="right" w:leader="dot" w:pos="9070"/>
        </w:tabs>
        <w:spacing w:before="240" w:after="60" w:line="288" w:lineRule="auto"/>
        <w:contextualSpacing/>
        <w:jc w:val="both"/>
        <w:rPr>
          <w:rFonts w:ascii="Myriad Pro" w:hAnsi="Myriad Pro"/>
          <w:b/>
          <w:bCs/>
          <w:noProof/>
          <w:sz w:val="20"/>
          <w:szCs w:val="20"/>
        </w:rPr>
      </w:pPr>
      <w:r w:rsidRPr="00127982">
        <w:rPr>
          <w:rFonts w:ascii="Myriad Pro" w:hAnsi="Myriad Pro"/>
          <w:b/>
          <w:bCs/>
          <w:noProof/>
          <w:sz w:val="20"/>
          <w:szCs w:val="20"/>
        </w:rPr>
        <w:lastRenderedPageBreak/>
        <w:t xml:space="preserve">Slika </w:t>
      </w:r>
      <w:r w:rsidRPr="00127982">
        <w:rPr>
          <w:rFonts w:ascii="Myriad Pro" w:hAnsi="Myriad Pro"/>
          <w:b/>
          <w:bCs/>
          <w:noProof/>
          <w:sz w:val="20"/>
          <w:szCs w:val="20"/>
        </w:rPr>
        <w:fldChar w:fldCharType="begin"/>
      </w:r>
      <w:r w:rsidRPr="00127982">
        <w:rPr>
          <w:rFonts w:ascii="Myriad Pro" w:hAnsi="Myriad Pro"/>
          <w:b/>
          <w:bCs/>
          <w:noProof/>
          <w:sz w:val="20"/>
          <w:szCs w:val="20"/>
        </w:rPr>
        <w:instrText xml:space="preserve"> SEQ Slika \* ARABIC </w:instrText>
      </w:r>
      <w:r w:rsidRPr="00127982">
        <w:rPr>
          <w:rFonts w:ascii="Myriad Pro" w:hAnsi="Myriad Pro"/>
          <w:b/>
          <w:bCs/>
          <w:noProof/>
          <w:sz w:val="20"/>
          <w:szCs w:val="20"/>
        </w:rPr>
        <w:fldChar w:fldCharType="separate"/>
      </w:r>
      <w:r w:rsidR="00FF4B94">
        <w:rPr>
          <w:rFonts w:ascii="Myriad Pro" w:hAnsi="Myriad Pro"/>
          <w:b/>
          <w:bCs/>
          <w:noProof/>
          <w:sz w:val="20"/>
          <w:szCs w:val="20"/>
        </w:rPr>
        <w:t>12</w:t>
      </w:r>
      <w:r w:rsidRPr="00127982">
        <w:rPr>
          <w:rFonts w:ascii="Myriad Pro" w:hAnsi="Myriad Pro"/>
          <w:b/>
          <w:bCs/>
          <w:noProof/>
          <w:sz w:val="20"/>
          <w:szCs w:val="20"/>
        </w:rPr>
        <w:fldChar w:fldCharType="end"/>
      </w:r>
      <w:r w:rsidRPr="00127982">
        <w:rPr>
          <w:rFonts w:ascii="Myriad Pro" w:hAnsi="Myriad Pro"/>
          <w:b/>
          <w:bCs/>
          <w:noProof/>
          <w:sz w:val="20"/>
          <w:szCs w:val="20"/>
        </w:rPr>
        <w:t xml:space="preserve">: </w:t>
      </w:r>
      <w:r w:rsidRPr="00981E06">
        <w:rPr>
          <w:rFonts w:ascii="Myriad Pro" w:hAnsi="Myriad Pro"/>
          <w:b/>
          <w:bCs/>
          <w:noProof/>
          <w:sz w:val="20"/>
          <w:szCs w:val="20"/>
        </w:rPr>
        <w:t>Presežek</w:t>
      </w:r>
      <w:r w:rsidRPr="00127982">
        <w:rPr>
          <w:rFonts w:ascii="Myriad Pro" w:hAnsi="Myriad Pro"/>
          <w:b/>
          <w:bCs/>
          <w:noProof/>
          <w:sz w:val="20"/>
          <w:szCs w:val="20"/>
        </w:rPr>
        <w:t xml:space="preserve"> prihodkov od prodaje nad stroški blaga, materiala, storitev in dela v družbah trgovine na drobno v nespecializiranih prodajalnah </w:t>
      </w:r>
      <w:r w:rsidR="004D2FC9">
        <w:rPr>
          <w:rFonts w:ascii="Myriad Pro" w:hAnsi="Myriad Pro"/>
          <w:b/>
          <w:bCs/>
          <w:noProof/>
          <w:sz w:val="20"/>
          <w:szCs w:val="20"/>
        </w:rPr>
        <w:t>ter</w:t>
      </w:r>
      <w:r w:rsidRPr="00127982">
        <w:rPr>
          <w:rFonts w:ascii="Myriad Pro" w:hAnsi="Myriad Pro"/>
          <w:b/>
          <w:bCs/>
          <w:noProof/>
          <w:sz w:val="20"/>
          <w:szCs w:val="20"/>
        </w:rPr>
        <w:t xml:space="preserve"> trgovine na drobno z motornimi gorivi </w:t>
      </w:r>
      <w:r w:rsidR="00391F90">
        <w:rPr>
          <w:rFonts w:ascii="Myriad Pro" w:hAnsi="Myriad Pro"/>
          <w:b/>
          <w:bCs/>
          <w:noProof/>
          <w:sz w:val="20"/>
          <w:szCs w:val="20"/>
        </w:rPr>
        <w:t>je v letu 2023 ostal nižji kot v rekordnem letu 2021</w:t>
      </w:r>
      <w:r w:rsidRPr="00127982">
        <w:rPr>
          <w:rFonts w:ascii="Myriad Pro" w:hAnsi="Myriad Pro"/>
          <w:b/>
          <w:bCs/>
          <w:noProof/>
          <w:sz w:val="20"/>
          <w:szCs w:val="20"/>
        </w:rPr>
        <w:t xml:space="preserve"> </w:t>
      </w:r>
    </w:p>
    <w:p w14:paraId="78DE4A13" w14:textId="57D1C75F" w:rsidR="00127982" w:rsidRPr="00127982" w:rsidRDefault="002D75FF" w:rsidP="00127982">
      <w:pPr>
        <w:spacing w:after="0" w:line="288" w:lineRule="auto"/>
        <w:jc w:val="both"/>
        <w:rPr>
          <w:rFonts w:ascii="Myriad Pro" w:hAnsi="Myriad Pro"/>
          <w:sz w:val="20"/>
        </w:rPr>
      </w:pPr>
      <w:r w:rsidRPr="002D75FF">
        <w:rPr>
          <w:noProof/>
        </w:rPr>
        <w:drawing>
          <wp:inline distT="0" distB="0" distL="0" distR="0" wp14:anchorId="261AD2AE" wp14:editId="53340B90">
            <wp:extent cx="5759450" cy="2095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2095500"/>
                    </a:xfrm>
                    <a:prstGeom prst="rect">
                      <a:avLst/>
                    </a:prstGeom>
                    <a:noFill/>
                    <a:ln>
                      <a:noFill/>
                    </a:ln>
                  </pic:spPr>
                </pic:pic>
              </a:graphicData>
            </a:graphic>
          </wp:inline>
        </w:drawing>
      </w:r>
    </w:p>
    <w:p w14:paraId="02CCA7DA" w14:textId="7D0BD45D" w:rsidR="00127982" w:rsidRPr="00127982" w:rsidRDefault="00127982" w:rsidP="00127982">
      <w:pPr>
        <w:spacing w:before="40" w:after="0" w:line="240" w:lineRule="auto"/>
        <w:jc w:val="both"/>
        <w:rPr>
          <w:rFonts w:ascii="Myriad Pro" w:hAnsi="Myriad Pro"/>
          <w:sz w:val="16"/>
        </w:rPr>
      </w:pPr>
      <w:r w:rsidRPr="00127982">
        <w:rPr>
          <w:rFonts w:ascii="Myriad Pro" w:hAnsi="Myriad Pro"/>
          <w:sz w:val="16"/>
        </w:rPr>
        <w:t xml:space="preserve">Vir podatkov: </w:t>
      </w:r>
      <w:r w:rsidRPr="00127982">
        <w:rPr>
          <w:rFonts w:ascii="Myriad Pro" w:hAnsi="Myriad Pro"/>
          <w:sz w:val="16"/>
        </w:rPr>
        <w:fldChar w:fldCharType="begin"/>
      </w:r>
      <w:r w:rsidR="00317ED8">
        <w:rPr>
          <w:rFonts w:ascii="Myriad Pro" w:hAnsi="Myriad Pro"/>
          <w:sz w:val="16"/>
        </w:rPr>
        <w:instrText xml:space="preserve"> ADDIN ZOTERO_ITEM CSL_CITATION {"citationID":"smbsnzdD","properties":{"formattedCitation":"(AJPES, 2024)","plainCitation":"(AJPES, 2024)","noteIndex":0},"citationItems":[{"id":3,"uris":["http://zotero.org/users/8372339/items/IC2SCV5C",["http://zotero.org/users/8372339/items/IC2SCV5C"]],"itemData":{"id":3,"type":"report","event-place":"Ljubljana","publisher":"Agencija Republike Slovenije za javnopravne evidence in storitve","publisher-place":"Ljubljana","title":"Statistični podatki iz bilance stanja in izkaza poslovnega izida za gospodarske družbe in samostojne podjetnike","author":[{"family":"AJPES","given":""}],"issued":{"date-parts":[["2024"]]}}}],"schema":"https://github.com/citation-style-language/schema/raw/master/csl-citation.json"} </w:instrText>
      </w:r>
      <w:r w:rsidRPr="00127982">
        <w:rPr>
          <w:rFonts w:ascii="Myriad Pro" w:hAnsi="Myriad Pro"/>
          <w:sz w:val="16"/>
        </w:rPr>
        <w:fldChar w:fldCharType="separate"/>
      </w:r>
      <w:r w:rsidR="00317ED8" w:rsidRPr="00317ED8">
        <w:rPr>
          <w:rFonts w:ascii="Myriad Pro" w:hAnsi="Myriad Pro"/>
          <w:sz w:val="16"/>
        </w:rPr>
        <w:t>AJPES</w:t>
      </w:r>
      <w:r w:rsidR="00317ED8">
        <w:rPr>
          <w:rFonts w:ascii="Myriad Pro" w:hAnsi="Myriad Pro"/>
          <w:sz w:val="16"/>
        </w:rPr>
        <w:t xml:space="preserve"> (</w:t>
      </w:r>
      <w:r w:rsidR="00317ED8" w:rsidRPr="00317ED8">
        <w:rPr>
          <w:rFonts w:ascii="Myriad Pro" w:hAnsi="Myriad Pro"/>
          <w:sz w:val="16"/>
        </w:rPr>
        <w:t>2024)</w:t>
      </w:r>
      <w:r w:rsidRPr="00127982">
        <w:rPr>
          <w:rFonts w:ascii="Myriad Pro" w:hAnsi="Myriad Pro"/>
          <w:sz w:val="16"/>
        </w:rPr>
        <w:fldChar w:fldCharType="end"/>
      </w:r>
      <w:r w:rsidRPr="00127982">
        <w:rPr>
          <w:rFonts w:ascii="Myriad Pro" w:hAnsi="Myriad Pro"/>
          <w:sz w:val="16"/>
        </w:rPr>
        <w:t>, lastni izračuni.</w:t>
      </w:r>
    </w:p>
    <w:p w14:paraId="00500DDF" w14:textId="77777777" w:rsidR="00127982" w:rsidRPr="00127982" w:rsidRDefault="00127982" w:rsidP="00127982">
      <w:pPr>
        <w:spacing w:before="40" w:after="0" w:line="240" w:lineRule="auto"/>
        <w:jc w:val="both"/>
        <w:rPr>
          <w:rFonts w:ascii="Myriad Pro" w:hAnsi="Myriad Pro"/>
          <w:sz w:val="16"/>
        </w:rPr>
      </w:pPr>
    </w:p>
    <w:p w14:paraId="1A30D5EB" w14:textId="2CEDBCB0" w:rsidR="00127982" w:rsidRPr="00127982" w:rsidRDefault="00127982" w:rsidP="00127982">
      <w:pPr>
        <w:spacing w:after="0" w:line="288" w:lineRule="auto"/>
        <w:jc w:val="both"/>
        <w:rPr>
          <w:rFonts w:ascii="Myriad Pro" w:hAnsi="Myriad Pro"/>
          <w:b/>
          <w:sz w:val="20"/>
        </w:rPr>
      </w:pPr>
      <w:r w:rsidRPr="00127982">
        <w:rPr>
          <w:rFonts w:ascii="Myriad Pro" w:hAnsi="Myriad Pro"/>
          <w:b/>
          <w:sz w:val="20"/>
        </w:rPr>
        <w:t xml:space="preserve">Družbam trgovine na drobno v specializiranih prodajalnah z motornimi gorivi so se, po močnem </w:t>
      </w:r>
      <w:r w:rsidR="00C5696C">
        <w:rPr>
          <w:rFonts w:ascii="Myriad Pro" w:hAnsi="Myriad Pro"/>
          <w:b/>
          <w:sz w:val="20"/>
        </w:rPr>
        <w:t>upadu</w:t>
      </w:r>
      <w:r w:rsidRPr="00127982">
        <w:rPr>
          <w:rFonts w:ascii="Myriad Pro" w:hAnsi="Myriad Pro"/>
          <w:b/>
          <w:sz w:val="20"/>
        </w:rPr>
        <w:t xml:space="preserve"> v predhodnem letu, v letu 202</w:t>
      </w:r>
      <w:r w:rsidR="00C5696C">
        <w:rPr>
          <w:rFonts w:ascii="Myriad Pro" w:hAnsi="Myriad Pro"/>
          <w:b/>
          <w:sz w:val="20"/>
        </w:rPr>
        <w:t>3</w:t>
      </w:r>
      <w:r w:rsidRPr="00127982">
        <w:rPr>
          <w:rFonts w:ascii="Myriad Pro" w:hAnsi="Myriad Pro"/>
          <w:b/>
          <w:sz w:val="20"/>
        </w:rPr>
        <w:t xml:space="preserve"> </w:t>
      </w:r>
      <w:r w:rsidR="00C5696C">
        <w:rPr>
          <w:rFonts w:ascii="Myriad Pro" w:hAnsi="Myriad Pro"/>
          <w:b/>
          <w:sz w:val="20"/>
        </w:rPr>
        <w:t>povečali</w:t>
      </w:r>
      <w:r w:rsidRPr="00127982">
        <w:rPr>
          <w:rFonts w:ascii="Myriad Pro" w:hAnsi="Myriad Pro"/>
          <w:b/>
          <w:sz w:val="20"/>
        </w:rPr>
        <w:t xml:space="preserve"> tudi pribitki</w:t>
      </w:r>
      <w:r w:rsidR="00C5696C">
        <w:rPr>
          <w:rFonts w:ascii="Myriad Pro" w:hAnsi="Myriad Pro"/>
          <w:b/>
          <w:sz w:val="20"/>
        </w:rPr>
        <w:t>, a ostali</w:t>
      </w:r>
      <w:r w:rsidR="002317CE">
        <w:rPr>
          <w:rFonts w:ascii="Myriad Pro" w:hAnsi="Myriad Pro"/>
          <w:b/>
          <w:sz w:val="20"/>
        </w:rPr>
        <w:t>,</w:t>
      </w:r>
      <w:r w:rsidR="00C5696C">
        <w:rPr>
          <w:rFonts w:ascii="Myriad Pro" w:hAnsi="Myriad Pro"/>
          <w:b/>
          <w:sz w:val="20"/>
        </w:rPr>
        <w:t xml:space="preserve"> </w:t>
      </w:r>
      <w:r w:rsidR="002317CE">
        <w:rPr>
          <w:rFonts w:ascii="Myriad Pro" w:hAnsi="Myriad Pro"/>
          <w:b/>
          <w:sz w:val="20"/>
        </w:rPr>
        <w:t xml:space="preserve">enako </w:t>
      </w:r>
      <w:r w:rsidR="00C5696C">
        <w:rPr>
          <w:rFonts w:ascii="Myriad Pro" w:hAnsi="Myriad Pro"/>
          <w:b/>
          <w:sz w:val="20"/>
        </w:rPr>
        <w:t>kot v družbah</w:t>
      </w:r>
      <w:r w:rsidR="00C5696C" w:rsidRPr="00C5696C">
        <w:rPr>
          <w:rFonts w:ascii="Myriad Pro" w:hAnsi="Myriad Pro"/>
          <w:b/>
          <w:sz w:val="20"/>
        </w:rPr>
        <w:t xml:space="preserve"> </w:t>
      </w:r>
      <w:r w:rsidR="00C5696C" w:rsidRPr="00127982">
        <w:rPr>
          <w:rFonts w:ascii="Myriad Pro" w:hAnsi="Myriad Pro"/>
          <w:b/>
          <w:sz w:val="20"/>
        </w:rPr>
        <w:t>v nespecializiranih prodajalnah</w:t>
      </w:r>
      <w:r w:rsidR="002317CE">
        <w:rPr>
          <w:rFonts w:ascii="Myriad Pro" w:hAnsi="Myriad Pro"/>
          <w:b/>
          <w:sz w:val="20"/>
        </w:rPr>
        <w:t>,</w:t>
      </w:r>
      <w:r w:rsidR="00C5696C">
        <w:rPr>
          <w:rFonts w:ascii="Myriad Pro" w:hAnsi="Myriad Pro"/>
          <w:b/>
          <w:sz w:val="20"/>
        </w:rPr>
        <w:t xml:space="preserve"> </w:t>
      </w:r>
      <w:r w:rsidR="00502AC4">
        <w:rPr>
          <w:rFonts w:ascii="Myriad Pro" w:hAnsi="Myriad Pro"/>
          <w:b/>
          <w:sz w:val="20"/>
        </w:rPr>
        <w:t>pod najvišjimi vrednostmi iz</w:t>
      </w:r>
      <w:r w:rsidR="00C5696C">
        <w:rPr>
          <w:rFonts w:ascii="Myriad Pro" w:hAnsi="Myriad Pro"/>
          <w:b/>
          <w:sz w:val="20"/>
        </w:rPr>
        <w:t xml:space="preserve"> let</w:t>
      </w:r>
      <w:r w:rsidR="00502AC4">
        <w:rPr>
          <w:rFonts w:ascii="Myriad Pro" w:hAnsi="Myriad Pro"/>
          <w:b/>
          <w:sz w:val="20"/>
        </w:rPr>
        <w:t>a</w:t>
      </w:r>
      <w:r w:rsidR="00C5696C">
        <w:rPr>
          <w:rFonts w:ascii="Myriad Pro" w:hAnsi="Myriad Pro"/>
          <w:b/>
          <w:sz w:val="20"/>
        </w:rPr>
        <w:t xml:space="preserve"> 2021</w:t>
      </w:r>
      <w:r w:rsidRPr="00127982">
        <w:rPr>
          <w:rFonts w:ascii="Myriad Pro" w:hAnsi="Myriad Pro"/>
          <w:b/>
          <w:sz w:val="20"/>
        </w:rPr>
        <w:t xml:space="preserve">. </w:t>
      </w:r>
      <w:r w:rsidRPr="00127982">
        <w:rPr>
          <w:rFonts w:ascii="Myriad Pro" w:hAnsi="Myriad Pro"/>
          <w:sz w:val="20"/>
        </w:rPr>
        <w:t>Pri družbah obeh panog je bil</w:t>
      </w:r>
      <w:r w:rsidRPr="00127982">
        <w:rPr>
          <w:rFonts w:ascii="Myriad Pro" w:hAnsi="Myriad Pro"/>
          <w:b/>
          <w:sz w:val="20"/>
        </w:rPr>
        <w:t xml:space="preserve"> </w:t>
      </w:r>
      <w:r w:rsidRPr="00127982">
        <w:rPr>
          <w:rFonts w:ascii="Myriad Pro" w:hAnsi="Myriad Pro"/>
          <w:sz w:val="20"/>
        </w:rPr>
        <w:t xml:space="preserve">pribitek, izračunan kot razmerje med prihodki od prodaje in stroški za nabavo blaga, materiala in storitev ter stroški dela, v letu 2021 najvišji v celotnem obdobju. Družbam trgovine na drobno v nespecializiranih prodajalnah, ki se jim je krepil po letu 2016, močneje v letih 2020 in 2021, se je lani zmanjšal </w:t>
      </w:r>
      <w:r w:rsidR="00C5696C">
        <w:rPr>
          <w:rFonts w:ascii="Myriad Pro" w:hAnsi="Myriad Pro"/>
          <w:sz w:val="20"/>
        </w:rPr>
        <w:t>drugo leto zapored, a bil še vedno precej višji od pribitka pred letom 2019.</w:t>
      </w:r>
      <w:r w:rsidRPr="00127982">
        <w:rPr>
          <w:rFonts w:ascii="Myriad Pro" w:hAnsi="Myriad Pro"/>
          <w:sz w:val="20"/>
        </w:rPr>
        <w:t xml:space="preserve"> Družbam v specializiranih prodajalnah z motornimi gorivi</w:t>
      </w:r>
      <w:r w:rsidRPr="00127982">
        <w:rPr>
          <w:rFonts w:ascii="Myriad Pro" w:hAnsi="Myriad Pro"/>
          <w:bCs/>
          <w:sz w:val="20"/>
        </w:rPr>
        <w:t xml:space="preserve">, ki se jim je po </w:t>
      </w:r>
      <w:r w:rsidR="00C5696C">
        <w:rPr>
          <w:rFonts w:ascii="Myriad Pro" w:hAnsi="Myriad Pro"/>
          <w:bCs/>
          <w:sz w:val="20"/>
        </w:rPr>
        <w:t>močnejši krepitvi</w:t>
      </w:r>
      <w:r w:rsidRPr="00127982">
        <w:rPr>
          <w:rFonts w:ascii="Myriad Pro" w:hAnsi="Myriad Pro"/>
          <w:bCs/>
          <w:sz w:val="20"/>
        </w:rPr>
        <w:t xml:space="preserve"> v letu 202</w:t>
      </w:r>
      <w:r w:rsidR="00C5696C">
        <w:rPr>
          <w:rFonts w:ascii="Myriad Pro" w:hAnsi="Myriad Pro"/>
          <w:bCs/>
          <w:sz w:val="20"/>
        </w:rPr>
        <w:t>1</w:t>
      </w:r>
      <w:r w:rsidRPr="00127982">
        <w:rPr>
          <w:rFonts w:ascii="Myriad Pro" w:hAnsi="Myriad Pro"/>
          <w:bCs/>
          <w:sz w:val="20"/>
        </w:rPr>
        <w:t xml:space="preserve"> leta 202</w:t>
      </w:r>
      <w:r w:rsidR="00C5696C">
        <w:rPr>
          <w:rFonts w:ascii="Myriad Pro" w:hAnsi="Myriad Pro"/>
          <w:bCs/>
          <w:sz w:val="20"/>
        </w:rPr>
        <w:t>2</w:t>
      </w:r>
      <w:r w:rsidRPr="00127982">
        <w:rPr>
          <w:rFonts w:ascii="Myriad Pro" w:hAnsi="Myriad Pro"/>
          <w:bCs/>
          <w:sz w:val="20"/>
        </w:rPr>
        <w:t xml:space="preserve"> pribitek zmanjšal na najnižjo raven od leta 2008</w:t>
      </w:r>
      <w:r w:rsidR="00C5696C">
        <w:rPr>
          <w:rFonts w:ascii="Myriad Pro" w:hAnsi="Myriad Pro"/>
          <w:bCs/>
          <w:sz w:val="20"/>
        </w:rPr>
        <w:t>, pa se je lani okrepil, a bil še vedno razmeroma nizek</w:t>
      </w:r>
      <w:r w:rsidRPr="00127982">
        <w:rPr>
          <w:rFonts w:ascii="Myriad Pro" w:hAnsi="Myriad Pro"/>
          <w:bCs/>
          <w:sz w:val="20"/>
        </w:rPr>
        <w:t>.</w:t>
      </w:r>
      <w:r w:rsidRPr="00127982">
        <w:rPr>
          <w:rFonts w:ascii="Myriad Pro" w:hAnsi="Myriad Pro"/>
          <w:b/>
          <w:sz w:val="20"/>
        </w:rPr>
        <w:t xml:space="preserve"> </w:t>
      </w:r>
    </w:p>
    <w:p w14:paraId="5E8B61CB" w14:textId="77777777" w:rsidR="00127982" w:rsidRPr="00127982" w:rsidRDefault="00127982" w:rsidP="00127982">
      <w:pPr>
        <w:spacing w:after="0" w:line="288" w:lineRule="auto"/>
        <w:jc w:val="both"/>
        <w:rPr>
          <w:rFonts w:ascii="Myriad Pro" w:hAnsi="Myriad Pro"/>
          <w:b/>
          <w:sz w:val="20"/>
        </w:rPr>
      </w:pPr>
    </w:p>
    <w:p w14:paraId="4CF7A528" w14:textId="0DA03E7F" w:rsidR="00127982" w:rsidRPr="00127982" w:rsidRDefault="00127982" w:rsidP="00127982">
      <w:pPr>
        <w:spacing w:before="40" w:after="0" w:line="240" w:lineRule="auto"/>
        <w:jc w:val="both"/>
        <w:rPr>
          <w:rFonts w:ascii="Myriad Pro" w:hAnsi="Myriad Pro"/>
          <w:sz w:val="16"/>
        </w:rPr>
      </w:pPr>
    </w:p>
    <w:p w14:paraId="5387D090" w14:textId="77777777" w:rsidR="00127982" w:rsidRPr="00127982" w:rsidRDefault="00127982" w:rsidP="00127982">
      <w:pPr>
        <w:spacing w:after="0" w:line="288" w:lineRule="auto"/>
        <w:jc w:val="both"/>
        <w:rPr>
          <w:rFonts w:ascii="Myriad Pro" w:hAnsi="Myriad Pro"/>
          <w:sz w:val="20"/>
        </w:rPr>
      </w:pPr>
    </w:p>
    <w:p w14:paraId="1C5906C5" w14:textId="77777777" w:rsidR="00127982" w:rsidRPr="00127982" w:rsidRDefault="00127982" w:rsidP="007C6DF6">
      <w:pPr>
        <w:keepNext/>
        <w:keepLines/>
        <w:pageBreakBefore/>
        <w:numPr>
          <w:ilvl w:val="0"/>
          <w:numId w:val="2"/>
        </w:numPr>
        <w:spacing w:before="200" w:after="240" w:line="288" w:lineRule="auto"/>
        <w:ind w:left="357" w:hanging="357"/>
        <w:outlineLvl w:val="0"/>
        <w:rPr>
          <w:rFonts w:ascii="Myriad Pro" w:hAnsi="Myriad Pro" w:cs="Arial"/>
          <w:b/>
          <w:bCs/>
          <w:color w:val="9E001A" w:themeColor="accent1"/>
          <w:kern w:val="32"/>
          <w:sz w:val="28"/>
        </w:rPr>
      </w:pPr>
      <w:bookmarkStart w:id="26" w:name="_Toc170819233"/>
      <w:r w:rsidRPr="00127982">
        <w:rPr>
          <w:rFonts w:ascii="Myriad Pro" w:hAnsi="Myriad Pro" w:cs="Arial"/>
          <w:b/>
          <w:bCs/>
          <w:color w:val="9E001A" w:themeColor="accent1"/>
          <w:kern w:val="32"/>
          <w:sz w:val="28"/>
        </w:rPr>
        <w:lastRenderedPageBreak/>
        <w:t>Zaključek</w:t>
      </w:r>
      <w:bookmarkEnd w:id="26"/>
      <w:r w:rsidRPr="00127982">
        <w:rPr>
          <w:rFonts w:ascii="Myriad Pro" w:hAnsi="Myriad Pro" w:cs="Arial"/>
          <w:b/>
          <w:bCs/>
          <w:color w:val="9E001A" w:themeColor="accent1"/>
          <w:kern w:val="32"/>
          <w:sz w:val="28"/>
        </w:rPr>
        <w:t xml:space="preserve"> </w:t>
      </w:r>
    </w:p>
    <w:p w14:paraId="24112C0F" w14:textId="46999CEC" w:rsidR="00000DC6" w:rsidRDefault="00805EA2" w:rsidP="00127982">
      <w:pPr>
        <w:spacing w:after="0" w:line="288" w:lineRule="auto"/>
        <w:jc w:val="both"/>
        <w:rPr>
          <w:rFonts w:ascii="Myriad Pro" w:hAnsi="Myriad Pro"/>
          <w:sz w:val="20"/>
        </w:rPr>
      </w:pPr>
      <w:bookmarkStart w:id="27" w:name="_Hlk138240985"/>
      <w:r>
        <w:rPr>
          <w:rFonts w:ascii="Myriad Pro" w:hAnsi="Myriad Pro"/>
          <w:sz w:val="20"/>
        </w:rPr>
        <w:t xml:space="preserve">Poslovanje </w:t>
      </w:r>
      <w:r w:rsidR="00F630FB">
        <w:rPr>
          <w:rFonts w:ascii="Myriad Pro" w:hAnsi="Myriad Pro"/>
          <w:sz w:val="20"/>
        </w:rPr>
        <w:t>g</w:t>
      </w:r>
      <w:r w:rsidR="00F630FB" w:rsidRPr="00127982">
        <w:rPr>
          <w:rFonts w:ascii="Myriad Pro" w:hAnsi="Myriad Pro"/>
          <w:sz w:val="20"/>
        </w:rPr>
        <w:t>ospodarsk</w:t>
      </w:r>
      <w:r w:rsidR="00F630FB">
        <w:rPr>
          <w:rFonts w:ascii="Myriad Pro" w:hAnsi="Myriad Pro"/>
          <w:sz w:val="20"/>
        </w:rPr>
        <w:t>ih</w:t>
      </w:r>
      <w:r w:rsidR="00F630FB" w:rsidRPr="00127982">
        <w:rPr>
          <w:rFonts w:ascii="Myriad Pro" w:hAnsi="Myriad Pro"/>
          <w:sz w:val="20"/>
        </w:rPr>
        <w:t xml:space="preserve"> družb trgovine ter vzdrževanja in popravil motornih vozil (G)</w:t>
      </w:r>
      <w:r w:rsidR="00F630FB">
        <w:rPr>
          <w:rFonts w:ascii="Myriad Pro" w:hAnsi="Myriad Pro"/>
          <w:sz w:val="20"/>
        </w:rPr>
        <w:t xml:space="preserve"> </w:t>
      </w:r>
      <w:r>
        <w:rPr>
          <w:rFonts w:ascii="Myriad Pro" w:hAnsi="Myriad Pro"/>
          <w:sz w:val="20"/>
        </w:rPr>
        <w:t xml:space="preserve">so v zadnjih letih močno zaznamovali najprej epidemija ter nato energetska in splošna draginja. </w:t>
      </w:r>
      <w:r w:rsidR="00F630FB">
        <w:rPr>
          <w:rFonts w:ascii="Myriad Pro" w:hAnsi="Myriad Pro"/>
          <w:sz w:val="20"/>
        </w:rPr>
        <w:t>Trgovske gospodarske družbe</w:t>
      </w:r>
      <w:r w:rsidR="00F630FB" w:rsidRPr="00127982">
        <w:rPr>
          <w:rFonts w:ascii="Myriad Pro" w:hAnsi="Myriad Pro"/>
          <w:sz w:val="20"/>
        </w:rPr>
        <w:t xml:space="preserve"> </w:t>
      </w:r>
      <w:r w:rsidR="00127982" w:rsidRPr="00127982">
        <w:rPr>
          <w:rFonts w:ascii="Myriad Pro" w:hAnsi="Myriad Pro"/>
          <w:sz w:val="20"/>
        </w:rPr>
        <w:t xml:space="preserve">so po letu 2013, ko so </w:t>
      </w:r>
      <w:r w:rsidR="00E27928">
        <w:rPr>
          <w:rFonts w:ascii="Myriad Pro" w:hAnsi="Myriad Pro"/>
          <w:sz w:val="20"/>
        </w:rPr>
        <w:t>ustvarile nekaj</w:t>
      </w:r>
      <w:r w:rsidR="00127982" w:rsidRPr="00127982">
        <w:rPr>
          <w:rFonts w:ascii="Myriad Pro" w:hAnsi="Myriad Pro"/>
          <w:sz w:val="20"/>
        </w:rPr>
        <w:t xml:space="preserve"> izgub</w:t>
      </w:r>
      <w:r w:rsidR="00E27928">
        <w:rPr>
          <w:rFonts w:ascii="Myriad Pro" w:hAnsi="Myriad Pro"/>
          <w:sz w:val="20"/>
        </w:rPr>
        <w:t>e</w:t>
      </w:r>
      <w:r w:rsidR="00127982" w:rsidRPr="00127982">
        <w:rPr>
          <w:rFonts w:ascii="Myriad Pro" w:hAnsi="Myriad Pro"/>
          <w:sz w:val="20"/>
        </w:rPr>
        <w:t xml:space="preserve">, v nadaljnjih letih poslovale </w:t>
      </w:r>
      <w:r w:rsidR="00E36426">
        <w:rPr>
          <w:rFonts w:ascii="Myriad Pro" w:hAnsi="Myriad Pro"/>
          <w:sz w:val="20"/>
        </w:rPr>
        <w:t>pozitivno</w:t>
      </w:r>
      <w:r w:rsidR="00482943">
        <w:rPr>
          <w:rFonts w:ascii="Myriad Pro" w:hAnsi="Myriad Pro"/>
          <w:sz w:val="20"/>
        </w:rPr>
        <w:t xml:space="preserve">. </w:t>
      </w:r>
      <w:r>
        <w:rPr>
          <w:rFonts w:ascii="Myriad Pro" w:hAnsi="Myriad Pro"/>
          <w:sz w:val="20"/>
        </w:rPr>
        <w:t>Neto čisti dobiček</w:t>
      </w:r>
      <w:r w:rsidR="00482943">
        <w:rPr>
          <w:rFonts w:ascii="Myriad Pro" w:hAnsi="Myriad Pro"/>
          <w:sz w:val="20"/>
        </w:rPr>
        <w:t xml:space="preserve"> </w:t>
      </w:r>
      <w:r w:rsidR="00127982" w:rsidRPr="00127982">
        <w:rPr>
          <w:rFonts w:ascii="Myriad Pro" w:hAnsi="Myriad Pro"/>
          <w:sz w:val="20"/>
        </w:rPr>
        <w:t>se je</w:t>
      </w:r>
      <w:r w:rsidR="00482943">
        <w:rPr>
          <w:rFonts w:ascii="Myriad Pro" w:hAnsi="Myriad Pro"/>
          <w:sz w:val="20"/>
        </w:rPr>
        <w:t xml:space="preserve"> </w:t>
      </w:r>
      <w:r w:rsidR="00127982" w:rsidRPr="00127982">
        <w:rPr>
          <w:rFonts w:ascii="Myriad Pro" w:hAnsi="Myriad Pro"/>
          <w:sz w:val="20"/>
        </w:rPr>
        <w:t xml:space="preserve">po </w:t>
      </w:r>
      <w:r w:rsidR="00482943">
        <w:rPr>
          <w:rFonts w:ascii="Myriad Pro" w:hAnsi="Myriad Pro"/>
          <w:sz w:val="20"/>
        </w:rPr>
        <w:t>podvojitvi</w:t>
      </w:r>
      <w:r w:rsidR="00127982" w:rsidRPr="00127982">
        <w:rPr>
          <w:rFonts w:ascii="Myriad Pro" w:hAnsi="Myriad Pro"/>
          <w:sz w:val="20"/>
        </w:rPr>
        <w:t xml:space="preserve"> v letu 2021 </w:t>
      </w:r>
      <w:r w:rsidR="00FF2763">
        <w:rPr>
          <w:rFonts w:ascii="Myriad Pro" w:hAnsi="Myriad Pro"/>
          <w:sz w:val="20"/>
        </w:rPr>
        <w:t xml:space="preserve">leto kasneje </w:t>
      </w:r>
      <w:r w:rsidR="00127982" w:rsidRPr="00127982">
        <w:rPr>
          <w:rFonts w:ascii="Myriad Pro" w:hAnsi="Myriad Pro"/>
          <w:sz w:val="20"/>
        </w:rPr>
        <w:t>nekoliko zmanjšal</w:t>
      </w:r>
      <w:r w:rsidR="00482943">
        <w:rPr>
          <w:rFonts w:ascii="Myriad Pro" w:hAnsi="Myriad Pro"/>
          <w:sz w:val="20"/>
        </w:rPr>
        <w:t>, v letu 2023 pa ponovno povečal, a bil nižji od rekordnega iz leta 2021</w:t>
      </w:r>
      <w:r w:rsidR="00127982" w:rsidRPr="00127982">
        <w:rPr>
          <w:rFonts w:ascii="Myriad Pro" w:hAnsi="Myriad Pro"/>
          <w:sz w:val="20"/>
        </w:rPr>
        <w:t xml:space="preserve">. </w:t>
      </w:r>
      <w:r w:rsidR="00482943">
        <w:rPr>
          <w:rFonts w:ascii="Myriad Pro" w:hAnsi="Myriad Pro"/>
          <w:sz w:val="20"/>
        </w:rPr>
        <w:t xml:space="preserve">Tretje leto zapored se je nadaljevala rast </w:t>
      </w:r>
      <w:r w:rsidR="00482943" w:rsidRPr="00127982">
        <w:rPr>
          <w:rFonts w:ascii="Myriad Pro" w:hAnsi="Myriad Pro"/>
          <w:sz w:val="20"/>
        </w:rPr>
        <w:t>dodane vrednosti, produktivnosti in dobička v družbah trgovine z motornimi vozili.</w:t>
      </w:r>
      <w:r w:rsidR="005B35A9" w:rsidRPr="005B35A9">
        <w:rPr>
          <w:rFonts w:ascii="Myriad Pro" w:hAnsi="Myriad Pro"/>
          <w:sz w:val="20"/>
        </w:rPr>
        <w:t xml:space="preserve"> </w:t>
      </w:r>
      <w:r w:rsidR="005B35A9">
        <w:rPr>
          <w:rFonts w:ascii="Myriad Pro" w:hAnsi="Myriad Pro"/>
          <w:sz w:val="20"/>
        </w:rPr>
        <w:t>Rast dodane vrednosti in produktivnosti se je nadaljevala tudi v družbah</w:t>
      </w:r>
      <w:r w:rsidR="005B35A9" w:rsidRPr="005B35A9">
        <w:rPr>
          <w:rFonts w:ascii="Myriad Pro" w:hAnsi="Myriad Pro"/>
          <w:sz w:val="20"/>
        </w:rPr>
        <w:t xml:space="preserve"> </w:t>
      </w:r>
      <w:r w:rsidR="005B35A9" w:rsidRPr="00127982">
        <w:rPr>
          <w:rFonts w:ascii="Myriad Pro" w:hAnsi="Myriad Pro"/>
          <w:sz w:val="20"/>
        </w:rPr>
        <w:t>trgovine na debelo</w:t>
      </w:r>
      <w:r w:rsidR="005B35A9">
        <w:rPr>
          <w:rFonts w:ascii="Myriad Pro" w:hAnsi="Myriad Pro"/>
          <w:sz w:val="20"/>
        </w:rPr>
        <w:t>, ki pa so ob poslabšanju finančnega poslovanja leto 2023 zaključile s podobnim neto čistim dobičkom kot leta 2021.</w:t>
      </w:r>
      <w:r w:rsidR="00CB23B0">
        <w:rPr>
          <w:rFonts w:ascii="Myriad Pro" w:hAnsi="Myriad Pro"/>
          <w:sz w:val="20"/>
        </w:rPr>
        <w:t xml:space="preserve"> </w:t>
      </w:r>
      <w:r w:rsidR="002E138A" w:rsidRPr="002E138A">
        <w:rPr>
          <w:rFonts w:ascii="Myriad Pro" w:hAnsi="Myriad Pro"/>
          <w:sz w:val="20"/>
        </w:rPr>
        <w:t>Poslovanje družb v trgovini na drobno se je</w:t>
      </w:r>
      <w:r w:rsidR="00A36172">
        <w:rPr>
          <w:rFonts w:ascii="Myriad Pro" w:hAnsi="Myriad Pro"/>
          <w:sz w:val="20"/>
        </w:rPr>
        <w:t>,</w:t>
      </w:r>
      <w:r w:rsidR="002E138A" w:rsidRPr="002E138A">
        <w:rPr>
          <w:rFonts w:ascii="Myriad Pro" w:hAnsi="Myriad Pro"/>
          <w:sz w:val="20"/>
        </w:rPr>
        <w:t xml:space="preserve"> po </w:t>
      </w:r>
      <w:r w:rsidR="00347CAB">
        <w:rPr>
          <w:rFonts w:ascii="Myriad Pro" w:hAnsi="Myriad Pro"/>
          <w:sz w:val="20"/>
        </w:rPr>
        <w:t xml:space="preserve">enoletnem </w:t>
      </w:r>
      <w:r w:rsidR="00A36172">
        <w:rPr>
          <w:rFonts w:ascii="Myriad Pro" w:hAnsi="Myriad Pro"/>
          <w:sz w:val="20"/>
        </w:rPr>
        <w:t>poslabšanju,</w:t>
      </w:r>
      <w:r w:rsidR="002E138A" w:rsidRPr="002E138A">
        <w:rPr>
          <w:rFonts w:ascii="Myriad Pro" w:hAnsi="Myriad Pro"/>
          <w:sz w:val="20"/>
        </w:rPr>
        <w:t xml:space="preserve"> v letu 2023 izboljšalo, </w:t>
      </w:r>
      <w:bookmarkStart w:id="28" w:name="_Hlk170981678"/>
      <w:r w:rsidR="002E138A" w:rsidRPr="002E138A">
        <w:rPr>
          <w:rFonts w:ascii="Myriad Pro" w:hAnsi="Myriad Pro"/>
          <w:sz w:val="20"/>
        </w:rPr>
        <w:t>a ni doseglo rezultatov iz leta 2021, ko se je</w:t>
      </w:r>
      <w:r w:rsidR="00B06816">
        <w:rPr>
          <w:rFonts w:ascii="Myriad Pro" w:hAnsi="Myriad Pro"/>
          <w:sz w:val="20"/>
        </w:rPr>
        <w:t xml:space="preserve"> </w:t>
      </w:r>
      <w:r w:rsidR="00C85783">
        <w:rPr>
          <w:rFonts w:ascii="Myriad Pro" w:hAnsi="Myriad Pro"/>
          <w:sz w:val="20"/>
        </w:rPr>
        <w:t>pod vplivom visoke rasti trošenja gospodinjstev</w:t>
      </w:r>
      <w:r w:rsidR="00347CAB">
        <w:rPr>
          <w:rFonts w:ascii="Myriad Pro" w:hAnsi="Myriad Pro"/>
          <w:sz w:val="20"/>
        </w:rPr>
        <w:t xml:space="preserve"> </w:t>
      </w:r>
      <w:r w:rsidR="002E138A" w:rsidRPr="002E138A">
        <w:rPr>
          <w:rFonts w:ascii="Myriad Pro" w:hAnsi="Myriad Pro"/>
          <w:sz w:val="20"/>
        </w:rPr>
        <w:t>skokovito povečalo</w:t>
      </w:r>
      <w:bookmarkEnd w:id="28"/>
      <w:r w:rsidR="002E138A" w:rsidRPr="002E138A">
        <w:rPr>
          <w:rFonts w:ascii="Myriad Pro" w:hAnsi="Myriad Pro"/>
          <w:sz w:val="20"/>
        </w:rPr>
        <w:t xml:space="preserve">. </w:t>
      </w:r>
      <w:r w:rsidR="00000DC6" w:rsidRPr="00127982">
        <w:rPr>
          <w:rFonts w:ascii="Myriad Pro" w:hAnsi="Myriad Pro"/>
          <w:sz w:val="20"/>
        </w:rPr>
        <w:t xml:space="preserve">Ob </w:t>
      </w:r>
      <w:r w:rsidR="00000DC6">
        <w:rPr>
          <w:rFonts w:ascii="Myriad Pro" w:hAnsi="Myriad Pro"/>
          <w:sz w:val="20"/>
        </w:rPr>
        <w:t xml:space="preserve">umiritvi rasti </w:t>
      </w:r>
      <w:r w:rsidR="00000DC6" w:rsidRPr="00127982">
        <w:rPr>
          <w:rFonts w:ascii="Myriad Pro" w:hAnsi="Myriad Pro"/>
          <w:sz w:val="20"/>
        </w:rPr>
        <w:t>trošenj</w:t>
      </w:r>
      <w:r w:rsidR="00000DC6">
        <w:rPr>
          <w:rFonts w:ascii="Myriad Pro" w:hAnsi="Myriad Pro"/>
          <w:sz w:val="20"/>
        </w:rPr>
        <w:t>a</w:t>
      </w:r>
      <w:r w:rsidR="00000DC6" w:rsidRPr="00127982">
        <w:rPr>
          <w:rFonts w:ascii="Myriad Pro" w:hAnsi="Myriad Pro"/>
          <w:sz w:val="20"/>
        </w:rPr>
        <w:t xml:space="preserve"> </w:t>
      </w:r>
      <w:bookmarkStart w:id="29" w:name="_Hlk170981726"/>
      <w:r w:rsidR="00B06816">
        <w:rPr>
          <w:rFonts w:ascii="Myriad Pro" w:hAnsi="Myriad Pro"/>
          <w:sz w:val="20"/>
        </w:rPr>
        <w:t xml:space="preserve">v razmerah draginje in </w:t>
      </w:r>
      <w:r w:rsidR="00C85783">
        <w:rPr>
          <w:rFonts w:ascii="Myriad Pro" w:hAnsi="Myriad Pro"/>
          <w:sz w:val="20"/>
        </w:rPr>
        <w:t xml:space="preserve">povečane previdnosti </w:t>
      </w:r>
      <w:r w:rsidR="00000DC6" w:rsidRPr="00127982">
        <w:rPr>
          <w:rFonts w:ascii="Myriad Pro" w:hAnsi="Myriad Pro"/>
          <w:sz w:val="20"/>
        </w:rPr>
        <w:t>gospodinjstev</w:t>
      </w:r>
      <w:bookmarkEnd w:id="29"/>
      <w:r w:rsidR="00DA6184">
        <w:rPr>
          <w:rFonts w:ascii="Myriad Pro" w:hAnsi="Myriad Pro"/>
          <w:sz w:val="20"/>
        </w:rPr>
        <w:t xml:space="preserve"> ter</w:t>
      </w:r>
      <w:r w:rsidR="005D195A">
        <w:rPr>
          <w:rFonts w:ascii="Myriad Pro" w:hAnsi="Myriad Pro"/>
          <w:sz w:val="20"/>
        </w:rPr>
        <w:t xml:space="preserve"> nadaljn</w:t>
      </w:r>
      <w:r w:rsidR="00CB23B0">
        <w:rPr>
          <w:rFonts w:ascii="Myriad Pro" w:hAnsi="Myriad Pro"/>
          <w:sz w:val="20"/>
        </w:rPr>
        <w:t>j</w:t>
      </w:r>
      <w:r w:rsidR="005D195A">
        <w:rPr>
          <w:rFonts w:ascii="Myriad Pro" w:hAnsi="Myriad Pro"/>
          <w:sz w:val="20"/>
        </w:rPr>
        <w:t>i rasti nabavne vrednosti stroškov blaga, materiala in storitev</w:t>
      </w:r>
      <w:r w:rsidR="00DA6184">
        <w:rPr>
          <w:rFonts w:ascii="Myriad Pro" w:hAnsi="Myriad Pro"/>
          <w:sz w:val="20"/>
        </w:rPr>
        <w:t>,</w:t>
      </w:r>
      <w:r w:rsidR="005D195A">
        <w:rPr>
          <w:rFonts w:ascii="Myriad Pro" w:hAnsi="Myriad Pro"/>
          <w:sz w:val="20"/>
        </w:rPr>
        <w:t xml:space="preserve"> </w:t>
      </w:r>
      <w:r w:rsidR="00000DC6" w:rsidRPr="00127982">
        <w:rPr>
          <w:rFonts w:ascii="Myriad Pro" w:hAnsi="Myriad Pro"/>
          <w:sz w:val="20"/>
        </w:rPr>
        <w:t xml:space="preserve">je bil neto čisti dobiček družb trgovine na drobno v nespecializiranih prodajalnah, v katerih prevladujejo hipermarketi, marketi in diskonti, </w:t>
      </w:r>
      <w:r w:rsidR="005D195A">
        <w:rPr>
          <w:rFonts w:ascii="Myriad Pro" w:hAnsi="Myriad Pro"/>
          <w:sz w:val="20"/>
        </w:rPr>
        <w:t xml:space="preserve">po prepolovitvi v letu 2022 </w:t>
      </w:r>
      <w:r w:rsidR="009B098D">
        <w:rPr>
          <w:rFonts w:ascii="Myriad Pro" w:hAnsi="Myriad Pro"/>
          <w:sz w:val="20"/>
        </w:rPr>
        <w:t xml:space="preserve">lani </w:t>
      </w:r>
      <w:r w:rsidR="005D195A">
        <w:rPr>
          <w:rFonts w:ascii="Myriad Pro" w:hAnsi="Myriad Pro"/>
          <w:sz w:val="20"/>
        </w:rPr>
        <w:t>nižji še za skoraj petino.</w:t>
      </w:r>
      <w:r w:rsidR="00933F86">
        <w:rPr>
          <w:rFonts w:ascii="Myriad Pro" w:hAnsi="Myriad Pro"/>
          <w:sz w:val="20"/>
        </w:rPr>
        <w:t xml:space="preserve"> Omenjenim družbam se je v letu 2023 poslabšala tudi </w:t>
      </w:r>
      <w:r w:rsidR="00933F86" w:rsidRPr="00127982">
        <w:rPr>
          <w:rFonts w:ascii="Myriad Pro" w:hAnsi="Myriad Pro"/>
          <w:sz w:val="20"/>
        </w:rPr>
        <w:t>gospodarnost poslovanja, prav tako</w:t>
      </w:r>
      <w:r w:rsidR="00933F86">
        <w:rPr>
          <w:rFonts w:ascii="Myriad Pro" w:hAnsi="Myriad Pro"/>
          <w:sz w:val="20"/>
        </w:rPr>
        <w:t xml:space="preserve"> pa</w:t>
      </w:r>
      <w:r w:rsidR="00933F86" w:rsidRPr="00127982">
        <w:rPr>
          <w:rFonts w:ascii="Myriad Pro" w:hAnsi="Myriad Pro"/>
          <w:sz w:val="20"/>
        </w:rPr>
        <w:t xml:space="preserve"> se je zmanjšal presežek prihodkov od prodaje nad stroški blaga, materiala, storitev in dela</w:t>
      </w:r>
      <w:r w:rsidR="00933F86">
        <w:rPr>
          <w:rFonts w:ascii="Myriad Pro" w:hAnsi="Myriad Pro"/>
          <w:sz w:val="20"/>
        </w:rPr>
        <w:t>.</w:t>
      </w:r>
      <w:r w:rsidR="005D195A">
        <w:rPr>
          <w:rFonts w:ascii="Myriad Pro" w:hAnsi="Myriad Pro"/>
          <w:sz w:val="20"/>
        </w:rPr>
        <w:t xml:space="preserve"> </w:t>
      </w:r>
      <w:r w:rsidR="0029566B">
        <w:rPr>
          <w:rFonts w:ascii="Myriad Pro" w:hAnsi="Myriad Pro"/>
          <w:sz w:val="20"/>
        </w:rPr>
        <w:t>Nasprotno se je po izrazitem (92 %)</w:t>
      </w:r>
      <w:r w:rsidR="00000DC6" w:rsidRPr="00127982">
        <w:rPr>
          <w:rFonts w:ascii="Myriad Pro" w:hAnsi="Myriad Pro"/>
          <w:sz w:val="20"/>
        </w:rPr>
        <w:t xml:space="preserve"> zmanjša</w:t>
      </w:r>
      <w:r w:rsidR="0029566B">
        <w:rPr>
          <w:rFonts w:ascii="Myriad Pro" w:hAnsi="Myriad Pro"/>
          <w:sz w:val="20"/>
        </w:rPr>
        <w:t>nju</w:t>
      </w:r>
      <w:r w:rsidR="00000DC6" w:rsidRPr="00127982">
        <w:rPr>
          <w:rFonts w:ascii="Myriad Pro" w:hAnsi="Myriad Pro"/>
          <w:sz w:val="20"/>
        </w:rPr>
        <w:t xml:space="preserve"> neto čist</w:t>
      </w:r>
      <w:r w:rsidR="0029566B">
        <w:rPr>
          <w:rFonts w:ascii="Myriad Pro" w:hAnsi="Myriad Pro"/>
          <w:sz w:val="20"/>
        </w:rPr>
        <w:t xml:space="preserve">ega </w:t>
      </w:r>
      <w:r w:rsidR="00000DC6" w:rsidRPr="00127982">
        <w:rPr>
          <w:rFonts w:ascii="Myriad Pro" w:hAnsi="Myriad Pro"/>
          <w:sz w:val="20"/>
        </w:rPr>
        <w:t>dobičk</w:t>
      </w:r>
      <w:r w:rsidR="0029566B">
        <w:rPr>
          <w:rFonts w:ascii="Myriad Pro" w:hAnsi="Myriad Pro"/>
          <w:sz w:val="20"/>
        </w:rPr>
        <w:t xml:space="preserve">a v letu 2022, </w:t>
      </w:r>
      <w:r w:rsidR="0029566B" w:rsidRPr="00127982">
        <w:rPr>
          <w:rFonts w:ascii="Myriad Pro" w:hAnsi="Myriad Pro"/>
          <w:sz w:val="20"/>
        </w:rPr>
        <w:t>na kar so vplivale tudi visoke nabavne cene energentov ob vladni regulaciji cen goriv, električne energije in zemeljskega plina</w:t>
      </w:r>
      <w:r w:rsidR="0029566B">
        <w:rPr>
          <w:rFonts w:ascii="Myriad Pro" w:hAnsi="Myriad Pro"/>
          <w:sz w:val="20"/>
        </w:rPr>
        <w:t>, poslovanje</w:t>
      </w:r>
      <w:r w:rsidR="00000DC6" w:rsidRPr="00127982">
        <w:rPr>
          <w:rFonts w:ascii="Myriad Pro" w:hAnsi="Myriad Pro"/>
          <w:sz w:val="20"/>
        </w:rPr>
        <w:t xml:space="preserve"> družb trgovine na drobno v specializiranih prodajalnah z motornimi gorivi</w:t>
      </w:r>
      <w:r w:rsidR="0029566B">
        <w:rPr>
          <w:rFonts w:ascii="Myriad Pro" w:hAnsi="Myriad Pro"/>
          <w:sz w:val="20"/>
        </w:rPr>
        <w:t xml:space="preserve"> v letu 2023 močneje izboljšalo.</w:t>
      </w:r>
      <w:r w:rsidR="00933F86">
        <w:rPr>
          <w:rFonts w:ascii="Myriad Pro" w:hAnsi="Myriad Pro"/>
          <w:sz w:val="20"/>
        </w:rPr>
        <w:t xml:space="preserve"> </w:t>
      </w:r>
      <w:r w:rsidR="0029566B">
        <w:rPr>
          <w:rFonts w:ascii="Myriad Pro" w:hAnsi="Myriad Pro"/>
          <w:sz w:val="20"/>
        </w:rPr>
        <w:t xml:space="preserve">Ob umirjanju nabavnih cen se je v letu 2023 </w:t>
      </w:r>
      <w:r w:rsidR="0029566B" w:rsidRPr="00127982">
        <w:rPr>
          <w:rFonts w:ascii="Myriad Pro" w:hAnsi="Myriad Pro"/>
          <w:sz w:val="20"/>
        </w:rPr>
        <w:t>neto čisti</w:t>
      </w:r>
      <w:r w:rsidR="0029566B">
        <w:rPr>
          <w:rFonts w:ascii="Myriad Pro" w:hAnsi="Myriad Pro"/>
          <w:sz w:val="20"/>
        </w:rPr>
        <w:t xml:space="preserve"> </w:t>
      </w:r>
      <w:r w:rsidR="0029566B" w:rsidRPr="00127982">
        <w:rPr>
          <w:rFonts w:ascii="Myriad Pro" w:hAnsi="Myriad Pro"/>
          <w:sz w:val="20"/>
        </w:rPr>
        <w:t>dobič</w:t>
      </w:r>
      <w:r w:rsidR="0029566B">
        <w:rPr>
          <w:rFonts w:ascii="Myriad Pro" w:hAnsi="Myriad Pro"/>
          <w:sz w:val="20"/>
        </w:rPr>
        <w:t>e</w:t>
      </w:r>
      <w:r w:rsidR="0029566B" w:rsidRPr="00127982">
        <w:rPr>
          <w:rFonts w:ascii="Myriad Pro" w:hAnsi="Myriad Pro"/>
          <w:sz w:val="20"/>
        </w:rPr>
        <w:t>k</w:t>
      </w:r>
      <w:r w:rsidR="0029566B">
        <w:rPr>
          <w:rFonts w:ascii="Myriad Pro" w:hAnsi="Myriad Pro"/>
          <w:sz w:val="20"/>
        </w:rPr>
        <w:t xml:space="preserve"> povečal </w:t>
      </w:r>
      <w:r w:rsidR="00933F86">
        <w:rPr>
          <w:rFonts w:ascii="Myriad Pro" w:hAnsi="Myriad Pro"/>
          <w:sz w:val="20"/>
        </w:rPr>
        <w:t xml:space="preserve">na najvišjo vrednost celotnega opazovanega obdobja, izboljšala se je </w:t>
      </w:r>
      <w:r w:rsidR="00000DC6" w:rsidRPr="00127982">
        <w:rPr>
          <w:rFonts w:ascii="Myriad Pro" w:hAnsi="Myriad Pro"/>
          <w:sz w:val="20"/>
        </w:rPr>
        <w:t>tudi gospodarnost poslovanja</w:t>
      </w:r>
      <w:r w:rsidR="00933F86">
        <w:rPr>
          <w:rFonts w:ascii="Myriad Pro" w:hAnsi="Myriad Pro"/>
          <w:sz w:val="20"/>
        </w:rPr>
        <w:t xml:space="preserve"> in povečal</w:t>
      </w:r>
      <w:r w:rsidR="00000DC6" w:rsidRPr="00127982">
        <w:rPr>
          <w:rFonts w:ascii="Myriad Pro" w:hAnsi="Myriad Pro"/>
          <w:sz w:val="20"/>
        </w:rPr>
        <w:t xml:space="preserve"> presežek prihodkov od prodaje nad stroški blaga, materiala, storitev in dela, ki</w:t>
      </w:r>
      <w:r w:rsidR="008C2A34">
        <w:rPr>
          <w:rFonts w:ascii="Myriad Pro" w:hAnsi="Myriad Pro"/>
          <w:sz w:val="20"/>
        </w:rPr>
        <w:t xml:space="preserve"> pa je ostal precej nižji od </w:t>
      </w:r>
      <w:r w:rsidR="00347CAB">
        <w:rPr>
          <w:rFonts w:ascii="Myriad Pro" w:hAnsi="Myriad Pro"/>
          <w:sz w:val="20"/>
        </w:rPr>
        <w:t>doslej najvišjega</w:t>
      </w:r>
      <w:r w:rsidR="008C2A34">
        <w:rPr>
          <w:rFonts w:ascii="Myriad Pro" w:hAnsi="Myriad Pro"/>
          <w:sz w:val="20"/>
        </w:rPr>
        <w:t xml:space="preserve"> iz leta 2019.</w:t>
      </w:r>
    </w:p>
    <w:p w14:paraId="0310EA02" w14:textId="77777777" w:rsidR="00000DC6" w:rsidRDefault="00000DC6" w:rsidP="00127982">
      <w:pPr>
        <w:spacing w:after="0" w:line="288" w:lineRule="auto"/>
        <w:jc w:val="both"/>
        <w:rPr>
          <w:rFonts w:ascii="Myriad Pro" w:hAnsi="Myriad Pro"/>
          <w:sz w:val="20"/>
        </w:rPr>
      </w:pPr>
    </w:p>
    <w:p w14:paraId="1E826214" w14:textId="78BE162C" w:rsidR="00127982" w:rsidRPr="00CA4C1C" w:rsidRDefault="00127982" w:rsidP="00933F86">
      <w:pPr>
        <w:spacing w:after="0" w:line="288" w:lineRule="auto"/>
        <w:jc w:val="both"/>
      </w:pPr>
      <w:r w:rsidRPr="00127982">
        <w:rPr>
          <w:rFonts w:ascii="Myriad Pro" w:hAnsi="Myriad Pro"/>
          <w:sz w:val="20"/>
        </w:rPr>
        <w:t xml:space="preserve"> </w:t>
      </w:r>
      <w:bookmarkEnd w:id="27"/>
    </w:p>
    <w:p w14:paraId="34B2609E" w14:textId="4FD479F9" w:rsidR="005454CE" w:rsidRDefault="005454CE">
      <w:pPr>
        <w:spacing w:after="0" w:line="240" w:lineRule="auto"/>
        <w:rPr>
          <w:rFonts w:ascii="Myriad Pro" w:hAnsi="Myriad Pro"/>
          <w:kern w:val="0"/>
          <w:sz w:val="20"/>
          <w14:ligatures w14:val="none"/>
        </w:rPr>
      </w:pPr>
      <w:r>
        <w:br w:type="page"/>
      </w:r>
    </w:p>
    <w:p w14:paraId="3A316956" w14:textId="4FD479F9" w:rsidR="001908FD" w:rsidRPr="00DE358D" w:rsidRDefault="001908FD" w:rsidP="007C6DF6">
      <w:pPr>
        <w:pStyle w:val="Naslov1"/>
        <w:numPr>
          <w:ilvl w:val="0"/>
          <w:numId w:val="0"/>
        </w:numPr>
        <w:spacing w:after="240"/>
      </w:pPr>
      <w:bookmarkStart w:id="30" w:name="_Toc170819234"/>
      <w:bookmarkStart w:id="31" w:name="_Toc165883866"/>
      <w:bookmarkStart w:id="32" w:name="_Toc165883897"/>
      <w:bookmarkStart w:id="33" w:name="_Toc165883971"/>
      <w:bookmarkStart w:id="34" w:name="_Toc165884081"/>
      <w:bookmarkStart w:id="35" w:name="_Toc165884088"/>
      <w:r w:rsidRPr="00DE358D">
        <w:lastRenderedPageBreak/>
        <w:t>Literatura in viri</w:t>
      </w:r>
      <w:bookmarkEnd w:id="30"/>
      <w:r w:rsidR="005A6C05" w:rsidRPr="00DE358D">
        <w:t xml:space="preserve"> </w:t>
      </w:r>
      <w:bookmarkEnd w:id="31"/>
      <w:bookmarkEnd w:id="32"/>
      <w:bookmarkEnd w:id="33"/>
      <w:bookmarkEnd w:id="34"/>
      <w:bookmarkEnd w:id="35"/>
    </w:p>
    <w:p w14:paraId="104E31E8" w14:textId="77777777" w:rsidR="00317ED8" w:rsidRPr="00317ED8" w:rsidRDefault="00317ED8" w:rsidP="00C44361">
      <w:pPr>
        <w:pStyle w:val="LiteraturaUMAR"/>
        <w:rPr>
          <w:rFonts w:cs="Times New Roman"/>
          <w:szCs w:val="24"/>
        </w:rPr>
      </w:pPr>
      <w:r>
        <w:rPr>
          <w:rFonts w:asciiTheme="minorHAnsi" w:hAnsiTheme="minorHAnsi"/>
          <w:kern w:val="2"/>
          <w:sz w:val="22"/>
          <w14:ligatures w14:val="standardContextual"/>
        </w:rPr>
        <w:fldChar w:fldCharType="begin"/>
      </w:r>
      <w:r>
        <w:instrText xml:space="preserve"> ADDIN ZOTERO_BIBL {"uncited":[["http://zotero.org/users/8372339/items/MZRN9VT3"],["http://zotero.org/users/8372339/items/Z72ALN3M"],["http://zotero.org/users/8372339/items/6NN5NQDI"],["http://zotero.org/users/8372339/items/32UQ6MY7"],["http://zotero.org/users/8372339/items/N94XZGUG"],["http://zotero.org/users/8372339/items/43TWQMSV"],["http://zotero.org/users/8372339/items/XCGXZ3FN"],["http://zotero.org/users/8372339/items/V9BBB2XH"],["http://zotero.org/users/8372339/items/QZ8I7YHY"],["http://zotero.org/users/8372339/items/74M9HW7D"],["http://zotero.org/users/8372339/items/IC2SCV5C",["http://zotero.org/users/8372339/items/IC2SCV5C"]]],"omitted":[],"custom":[]} CSL_BIBLIOGRAPHY </w:instrText>
      </w:r>
      <w:r>
        <w:rPr>
          <w:rFonts w:asciiTheme="minorHAnsi" w:hAnsiTheme="minorHAnsi"/>
          <w:kern w:val="2"/>
          <w:sz w:val="22"/>
          <w14:ligatures w14:val="standardContextual"/>
        </w:rPr>
        <w:fldChar w:fldCharType="separate"/>
      </w:r>
      <w:r w:rsidRPr="00317ED8">
        <w:rPr>
          <w:rFonts w:cs="Times New Roman"/>
          <w:b/>
          <w:bCs/>
          <w:szCs w:val="24"/>
        </w:rPr>
        <w:t>AJPES.</w:t>
      </w:r>
      <w:r w:rsidRPr="00317ED8">
        <w:rPr>
          <w:rFonts w:cs="Times New Roman"/>
          <w:szCs w:val="24"/>
        </w:rPr>
        <w:t xml:space="preserve"> (2024). Statistični podatki iz bilance stanja in izkaza poslovnega izida za gospodarske družbe in samostojne podjetnike. Ljubljana: Agencija Republike Slovenije za javnopravne evidence in storitve.</w:t>
      </w:r>
    </w:p>
    <w:p w14:paraId="22DD382C" w14:textId="17E45D4A" w:rsidR="00317ED8" w:rsidRPr="00317ED8" w:rsidRDefault="00317ED8" w:rsidP="00C44361">
      <w:pPr>
        <w:pStyle w:val="LiteraturaUMAR"/>
        <w:rPr>
          <w:rFonts w:cs="Times New Roman"/>
          <w:szCs w:val="24"/>
        </w:rPr>
      </w:pPr>
      <w:r w:rsidRPr="00317ED8">
        <w:rPr>
          <w:rFonts w:cs="Times New Roman"/>
          <w:b/>
          <w:bCs/>
          <w:szCs w:val="24"/>
        </w:rPr>
        <w:t>Koprivnikar Šušteršič, M.</w:t>
      </w:r>
      <w:r w:rsidRPr="00317ED8">
        <w:rPr>
          <w:rFonts w:cs="Times New Roman"/>
          <w:szCs w:val="24"/>
        </w:rPr>
        <w:t xml:space="preserve"> (2023). Poslovanje trgovskih gospodarskih družb do leta 2022.</w:t>
      </w:r>
      <w:r>
        <w:rPr>
          <w:rFonts w:cs="Times New Roman"/>
          <w:szCs w:val="24"/>
        </w:rPr>
        <w:t xml:space="preserve"> </w:t>
      </w:r>
      <w:r w:rsidRPr="00317ED8">
        <w:rPr>
          <w:rFonts w:cs="Times New Roman"/>
          <w:szCs w:val="24"/>
        </w:rPr>
        <w:t xml:space="preserve">Pridobljeno </w:t>
      </w:r>
      <w:r>
        <w:rPr>
          <w:rFonts w:cs="Times New Roman"/>
          <w:szCs w:val="24"/>
        </w:rPr>
        <w:t xml:space="preserve">na spletni strani: </w:t>
      </w:r>
      <w:r w:rsidRPr="00317ED8">
        <w:rPr>
          <w:rFonts w:cs="Times New Roman"/>
          <w:szCs w:val="24"/>
        </w:rPr>
        <w:t>https://www.umar.gov.si/publikacije/kratke-analize/publikacija/poslovanje-trgovskih-gospodarskih-druzb-do-leta-2022</w:t>
      </w:r>
    </w:p>
    <w:p w14:paraId="49DB4590" w14:textId="7E1660C1" w:rsidR="00317ED8" w:rsidRPr="00317ED8" w:rsidRDefault="00317ED8" w:rsidP="00C44361">
      <w:pPr>
        <w:pStyle w:val="LiteraturaUMAR"/>
        <w:rPr>
          <w:rFonts w:cs="Times New Roman"/>
          <w:szCs w:val="24"/>
        </w:rPr>
      </w:pPr>
      <w:r w:rsidRPr="00317ED8">
        <w:rPr>
          <w:rFonts w:cs="Times New Roman"/>
          <w:b/>
          <w:bCs/>
          <w:szCs w:val="24"/>
        </w:rPr>
        <w:t>Mercator.</w:t>
      </w:r>
      <w:r w:rsidRPr="00317ED8">
        <w:rPr>
          <w:rFonts w:cs="Times New Roman"/>
          <w:szCs w:val="24"/>
        </w:rPr>
        <w:t xml:space="preserve"> (2013). Letno poročilo poslovnega sistema Mercator d.d. za leto 2012. Ljubljana: Mercator, d.d. Pridobljeno </w:t>
      </w:r>
      <w:r>
        <w:rPr>
          <w:rFonts w:cs="Times New Roman"/>
          <w:szCs w:val="24"/>
        </w:rPr>
        <w:t>na spletni strani:</w:t>
      </w:r>
      <w:r w:rsidRPr="00317ED8">
        <w:rPr>
          <w:rFonts w:cs="Times New Roman"/>
          <w:szCs w:val="24"/>
        </w:rPr>
        <w:t xml:space="preserve"> http://www.mercator.si</w:t>
      </w:r>
    </w:p>
    <w:p w14:paraId="7C088152" w14:textId="0D5C46A8" w:rsidR="00317ED8" w:rsidRPr="00317ED8" w:rsidRDefault="00317ED8" w:rsidP="00C44361">
      <w:pPr>
        <w:pStyle w:val="LiteraturaUMAR"/>
        <w:rPr>
          <w:rFonts w:cs="Times New Roman"/>
          <w:szCs w:val="24"/>
        </w:rPr>
      </w:pPr>
      <w:r w:rsidRPr="00317ED8">
        <w:rPr>
          <w:rFonts w:cs="Times New Roman"/>
          <w:b/>
          <w:bCs/>
          <w:szCs w:val="24"/>
        </w:rPr>
        <w:t>Mercator.</w:t>
      </w:r>
      <w:r w:rsidRPr="00317ED8">
        <w:rPr>
          <w:rFonts w:cs="Times New Roman"/>
          <w:szCs w:val="24"/>
        </w:rPr>
        <w:t xml:space="preserve"> (2021). Letno poročilo poslovnega sistema Mercator d.d. za leto 2020. Ljubljana: Mercator, d.d. Pridobljeno </w:t>
      </w:r>
      <w:r>
        <w:rPr>
          <w:rFonts w:cs="Times New Roman"/>
          <w:szCs w:val="24"/>
        </w:rPr>
        <w:t>na spletni strani:</w:t>
      </w:r>
      <w:r w:rsidRPr="00317ED8">
        <w:rPr>
          <w:rFonts w:cs="Times New Roman"/>
          <w:szCs w:val="24"/>
        </w:rPr>
        <w:t xml:space="preserve"> http://www.mercator.si</w:t>
      </w:r>
    </w:p>
    <w:p w14:paraId="6D562916" w14:textId="58E90103" w:rsidR="00317ED8" w:rsidRPr="00317ED8" w:rsidRDefault="00317ED8" w:rsidP="00C44361">
      <w:pPr>
        <w:pStyle w:val="LiteraturaUMAR"/>
        <w:rPr>
          <w:rFonts w:cs="Times New Roman"/>
          <w:szCs w:val="24"/>
        </w:rPr>
      </w:pPr>
      <w:r w:rsidRPr="00317ED8">
        <w:rPr>
          <w:rFonts w:cs="Times New Roman"/>
          <w:b/>
          <w:bCs/>
          <w:szCs w:val="24"/>
        </w:rPr>
        <w:t xml:space="preserve">Mercator. </w:t>
      </w:r>
      <w:r w:rsidRPr="00317ED8">
        <w:rPr>
          <w:rFonts w:cs="Times New Roman"/>
          <w:szCs w:val="24"/>
        </w:rPr>
        <w:t xml:space="preserve">(2022). Letno poročilo poslovnega sistema Mercator d. d. za leto 2021. Ljubljana: Mercator, d.d. Pridobljeno </w:t>
      </w:r>
      <w:r>
        <w:rPr>
          <w:rFonts w:cs="Times New Roman"/>
          <w:szCs w:val="24"/>
        </w:rPr>
        <w:t>na spletni strani:</w:t>
      </w:r>
      <w:r w:rsidRPr="00317ED8">
        <w:rPr>
          <w:rFonts w:cs="Times New Roman"/>
          <w:szCs w:val="24"/>
        </w:rPr>
        <w:t xml:space="preserve"> https://www.mercator-ip.si/letna-porocila/</w:t>
      </w:r>
    </w:p>
    <w:p w14:paraId="1D732C67" w14:textId="7DB68D37" w:rsidR="00317ED8" w:rsidRPr="00317ED8" w:rsidRDefault="00317ED8" w:rsidP="00C44361">
      <w:pPr>
        <w:pStyle w:val="LiteraturaUMAR"/>
        <w:rPr>
          <w:rFonts w:cs="Times New Roman"/>
          <w:szCs w:val="24"/>
        </w:rPr>
      </w:pPr>
      <w:r w:rsidRPr="00317ED8">
        <w:rPr>
          <w:rFonts w:cs="Times New Roman"/>
          <w:b/>
          <w:bCs/>
          <w:szCs w:val="24"/>
        </w:rPr>
        <w:t xml:space="preserve">MJU. </w:t>
      </w:r>
      <w:r w:rsidRPr="00317ED8">
        <w:rPr>
          <w:rFonts w:cs="Times New Roman"/>
          <w:szCs w:val="24"/>
        </w:rPr>
        <w:t xml:space="preserve">(2023). Odprti podatki Slovenije. Ljubljana: Ministrstvo za javno upravo. Pridobljeno </w:t>
      </w:r>
      <w:r>
        <w:rPr>
          <w:rFonts w:cs="Times New Roman"/>
          <w:szCs w:val="24"/>
        </w:rPr>
        <w:t>na spletni strani:</w:t>
      </w:r>
      <w:r w:rsidRPr="00317ED8">
        <w:rPr>
          <w:rFonts w:cs="Times New Roman"/>
          <w:szCs w:val="24"/>
        </w:rPr>
        <w:t xml:space="preserve"> https://podatki.gov.si/dataset/prvic-registrirana-vozila-po-mesecih</w:t>
      </w:r>
    </w:p>
    <w:p w14:paraId="667B2530" w14:textId="5F5461E7" w:rsidR="00317ED8" w:rsidRPr="00317ED8" w:rsidRDefault="00317ED8" w:rsidP="00C44361">
      <w:pPr>
        <w:pStyle w:val="LiteraturaUMAR"/>
        <w:rPr>
          <w:rFonts w:cs="Times New Roman"/>
          <w:szCs w:val="24"/>
        </w:rPr>
      </w:pPr>
      <w:r w:rsidRPr="00317ED8">
        <w:rPr>
          <w:rFonts w:cs="Times New Roman"/>
          <w:b/>
          <w:bCs/>
          <w:szCs w:val="24"/>
        </w:rPr>
        <w:t>Petrol.</w:t>
      </w:r>
      <w:r w:rsidRPr="00317ED8">
        <w:rPr>
          <w:rFonts w:cs="Times New Roman"/>
          <w:szCs w:val="24"/>
        </w:rPr>
        <w:t xml:space="preserve"> (2021). Letno poročilo skupine Petrol in družbe Petrol d.d. za leto 2020. Ljubljana: Petrol, d.d. Pridobljeno </w:t>
      </w:r>
      <w:r>
        <w:rPr>
          <w:rFonts w:cs="Times New Roman"/>
          <w:szCs w:val="24"/>
        </w:rPr>
        <w:t>na spletni strani:</w:t>
      </w:r>
      <w:r w:rsidRPr="00317ED8">
        <w:rPr>
          <w:rFonts w:cs="Times New Roman"/>
          <w:szCs w:val="24"/>
        </w:rPr>
        <w:t xml:space="preserve"> http://www.petrol.si</w:t>
      </w:r>
    </w:p>
    <w:p w14:paraId="1D4E7E01" w14:textId="0C1A3AB4" w:rsidR="00317ED8" w:rsidRPr="00317ED8" w:rsidRDefault="00317ED8" w:rsidP="00C44361">
      <w:pPr>
        <w:pStyle w:val="LiteraturaUMAR"/>
        <w:rPr>
          <w:rFonts w:cs="Times New Roman"/>
          <w:szCs w:val="24"/>
        </w:rPr>
      </w:pPr>
      <w:r w:rsidRPr="00317ED8">
        <w:rPr>
          <w:rFonts w:cs="Times New Roman"/>
          <w:b/>
          <w:bCs/>
          <w:szCs w:val="24"/>
        </w:rPr>
        <w:t>Petrol.</w:t>
      </w:r>
      <w:r w:rsidRPr="00317ED8">
        <w:rPr>
          <w:rFonts w:cs="Times New Roman"/>
          <w:szCs w:val="24"/>
        </w:rPr>
        <w:t xml:space="preserve"> (2022). Letno poročilo skupine Petrol in družbe Petrol d. d. za leto 2021. Ljubljana: Petrol, d.d. Pridobljeno </w:t>
      </w:r>
      <w:r>
        <w:rPr>
          <w:rFonts w:cs="Times New Roman"/>
          <w:szCs w:val="24"/>
        </w:rPr>
        <w:t>na spletni strani:</w:t>
      </w:r>
      <w:r w:rsidRPr="00317ED8">
        <w:rPr>
          <w:rFonts w:cs="Times New Roman"/>
          <w:szCs w:val="24"/>
        </w:rPr>
        <w:t xml:space="preserve"> http://www.petrol.eu</w:t>
      </w:r>
    </w:p>
    <w:p w14:paraId="67449E7D" w14:textId="654AB7D2" w:rsidR="00317ED8" w:rsidRPr="00317ED8" w:rsidRDefault="00317ED8" w:rsidP="00C44361">
      <w:pPr>
        <w:pStyle w:val="LiteraturaUMAR"/>
        <w:rPr>
          <w:rFonts w:cs="Times New Roman"/>
          <w:szCs w:val="24"/>
        </w:rPr>
      </w:pPr>
      <w:r w:rsidRPr="00317ED8">
        <w:rPr>
          <w:rFonts w:cs="Times New Roman"/>
          <w:b/>
          <w:bCs/>
          <w:szCs w:val="24"/>
        </w:rPr>
        <w:t>Petrol.</w:t>
      </w:r>
      <w:r w:rsidRPr="00317ED8">
        <w:rPr>
          <w:rFonts w:cs="Times New Roman"/>
          <w:szCs w:val="24"/>
        </w:rPr>
        <w:t xml:space="preserve"> (2023). letno-porocilo-petrol_2022.pdf. Pridobljeno </w:t>
      </w:r>
      <w:r>
        <w:rPr>
          <w:rFonts w:cs="Times New Roman"/>
          <w:szCs w:val="24"/>
        </w:rPr>
        <w:t>na spletni strani:</w:t>
      </w:r>
      <w:r w:rsidRPr="00317ED8">
        <w:rPr>
          <w:rFonts w:cs="Times New Roman"/>
          <w:szCs w:val="24"/>
        </w:rPr>
        <w:t xml:space="preserve"> https://www.petrol.eu/binaries/content/assets/skupina-petrol-slo/2023/porocila/letno-porocilo-petrol_2022.pdf</w:t>
      </w:r>
    </w:p>
    <w:p w14:paraId="4E810F1B" w14:textId="2E37CD9C" w:rsidR="00317ED8" w:rsidRPr="00317ED8" w:rsidRDefault="00317ED8" w:rsidP="00C44361">
      <w:pPr>
        <w:pStyle w:val="LiteraturaUMAR"/>
        <w:rPr>
          <w:rFonts w:cs="Times New Roman"/>
          <w:szCs w:val="24"/>
        </w:rPr>
      </w:pPr>
      <w:r w:rsidRPr="00317ED8">
        <w:rPr>
          <w:rFonts w:cs="Times New Roman"/>
          <w:b/>
          <w:bCs/>
          <w:szCs w:val="24"/>
        </w:rPr>
        <w:t>SURS.</w:t>
      </w:r>
      <w:r w:rsidRPr="00317ED8">
        <w:rPr>
          <w:rFonts w:cs="Times New Roman"/>
          <w:szCs w:val="24"/>
        </w:rPr>
        <w:t xml:space="preserve"> (2024). Podatkovna baza. Ljubljana: Statistični urad RS. Pridobljeno</w:t>
      </w:r>
      <w:r>
        <w:rPr>
          <w:rFonts w:cs="Times New Roman"/>
          <w:szCs w:val="24"/>
        </w:rPr>
        <w:t xml:space="preserve"> na spletni strani: </w:t>
      </w:r>
      <w:r w:rsidRPr="00317ED8">
        <w:rPr>
          <w:rFonts w:cs="Times New Roman"/>
          <w:szCs w:val="24"/>
        </w:rPr>
        <w:t>https://pxweb.stat.si/SiStatData</w:t>
      </w:r>
    </w:p>
    <w:p w14:paraId="7B7ED4F9" w14:textId="0E3BAF27" w:rsidR="00127982" w:rsidRDefault="00317ED8" w:rsidP="00C44361">
      <w:pPr>
        <w:pStyle w:val="LiteraturaUMAR"/>
        <w:rPr>
          <w:b/>
          <w:bCs/>
        </w:rPr>
      </w:pPr>
      <w:r>
        <w:rPr>
          <w:b/>
          <w:bCs/>
        </w:rPr>
        <w:fldChar w:fldCharType="end"/>
      </w:r>
      <w:r w:rsidR="00127982">
        <w:rPr>
          <w:b/>
          <w:bCs/>
        </w:rPr>
        <w:br w:type="page"/>
      </w:r>
    </w:p>
    <w:p w14:paraId="0F8B0271" w14:textId="05542BF3" w:rsidR="00127982" w:rsidRPr="00127982" w:rsidRDefault="00127982" w:rsidP="00C44361">
      <w:pPr>
        <w:pStyle w:val="Naslov3"/>
        <w:numPr>
          <w:ilvl w:val="0"/>
          <w:numId w:val="0"/>
        </w:numPr>
      </w:pPr>
      <w:bookmarkStart w:id="36" w:name="_Toc170819235"/>
      <w:r w:rsidRPr="00127982">
        <w:lastRenderedPageBreak/>
        <w:t xml:space="preserve">Priloga: </w:t>
      </w:r>
      <w:r w:rsidR="00C44361">
        <w:br/>
      </w:r>
      <w:r w:rsidRPr="00127982">
        <w:t>Opredelitev kazalnikov, uporabljenih v analizi poslovanja gospodarskih družb</w:t>
      </w:r>
      <w:bookmarkEnd w:id="36"/>
    </w:p>
    <w:p w14:paraId="62E95867" w14:textId="77777777" w:rsidR="00127982" w:rsidRPr="00127982" w:rsidRDefault="00127982" w:rsidP="00127982">
      <w:pPr>
        <w:pStyle w:val="LiteraturaUMAR"/>
      </w:pPr>
    </w:p>
    <w:p w14:paraId="2CF15FD4" w14:textId="77777777" w:rsidR="00127982" w:rsidRPr="00127982" w:rsidRDefault="00127982" w:rsidP="00127982">
      <w:pPr>
        <w:pStyle w:val="LiteraturaUMAR"/>
      </w:pPr>
      <w:r w:rsidRPr="00127982">
        <w:t>KAZALNIKA VELIKOSTI</w:t>
      </w:r>
    </w:p>
    <w:p w14:paraId="42F61DE2" w14:textId="77777777" w:rsidR="00127982" w:rsidRPr="00127982" w:rsidRDefault="00127982" w:rsidP="00127982">
      <w:pPr>
        <w:pStyle w:val="LiteraturaUMAR"/>
        <w:rPr>
          <w:b/>
        </w:rPr>
      </w:pPr>
      <w:r w:rsidRPr="00127982">
        <w:rPr>
          <w:b/>
        </w:rPr>
        <w:t xml:space="preserve">Sredstva na podjetje </w:t>
      </w:r>
    </w:p>
    <w:p w14:paraId="76E54715" w14:textId="77777777" w:rsidR="00127982" w:rsidRPr="00127982" w:rsidRDefault="00127982" w:rsidP="00127982">
      <w:pPr>
        <w:pStyle w:val="LiteraturaUMAR"/>
      </w:pPr>
      <w:r w:rsidRPr="00127982">
        <w:t>001/število podjetij</w:t>
      </w:r>
    </w:p>
    <w:p w14:paraId="54E4E49E" w14:textId="77777777" w:rsidR="00127982" w:rsidRPr="00127982" w:rsidRDefault="00127982" w:rsidP="00127982">
      <w:pPr>
        <w:pStyle w:val="LiteraturaUMAR"/>
        <w:rPr>
          <w:b/>
        </w:rPr>
      </w:pPr>
      <w:r w:rsidRPr="00127982">
        <w:rPr>
          <w:b/>
        </w:rPr>
        <w:t xml:space="preserve">Število zaposlenih na podjetje </w:t>
      </w:r>
    </w:p>
    <w:p w14:paraId="6C236221" w14:textId="77777777" w:rsidR="00127982" w:rsidRPr="00127982" w:rsidRDefault="00127982" w:rsidP="00127982">
      <w:pPr>
        <w:pStyle w:val="LiteraturaUMAR"/>
      </w:pPr>
      <w:r w:rsidRPr="00127982">
        <w:t>188/število podjetij</w:t>
      </w:r>
    </w:p>
    <w:p w14:paraId="247878F0" w14:textId="77777777" w:rsidR="00127982" w:rsidRPr="00127982" w:rsidRDefault="00127982" w:rsidP="00127982">
      <w:pPr>
        <w:pStyle w:val="LiteraturaUMAR"/>
      </w:pPr>
    </w:p>
    <w:p w14:paraId="3CC446DC" w14:textId="77777777" w:rsidR="00127982" w:rsidRPr="00127982" w:rsidRDefault="00127982" w:rsidP="00127982">
      <w:pPr>
        <w:pStyle w:val="LiteraturaUMAR"/>
      </w:pPr>
      <w:r w:rsidRPr="00127982">
        <w:t>KAZALNIK OPREMLJENOSTI DELA S SREDSTVI</w:t>
      </w:r>
    </w:p>
    <w:p w14:paraId="50DF3E30" w14:textId="77777777" w:rsidR="00127982" w:rsidRPr="00127982" w:rsidRDefault="00127982" w:rsidP="00127982">
      <w:pPr>
        <w:pStyle w:val="LiteraturaUMAR"/>
        <w:rPr>
          <w:b/>
        </w:rPr>
      </w:pPr>
      <w:r w:rsidRPr="00127982">
        <w:rPr>
          <w:b/>
        </w:rPr>
        <w:t>Povprečna* sredstva na zaposlenega</w:t>
      </w:r>
    </w:p>
    <w:p w14:paraId="1F61903B" w14:textId="77777777" w:rsidR="00127982" w:rsidRPr="00127982" w:rsidRDefault="00127982" w:rsidP="00127982">
      <w:pPr>
        <w:pStyle w:val="LiteraturaUMAR"/>
      </w:pPr>
      <w:r w:rsidRPr="00127982">
        <w:t>((001</w:t>
      </w:r>
      <w:r w:rsidRPr="00127982">
        <w:rPr>
          <w:vertAlign w:val="subscript"/>
        </w:rPr>
        <w:t>1</w:t>
      </w:r>
      <w:r w:rsidRPr="00127982">
        <w:t xml:space="preserve"> + 001</w:t>
      </w:r>
      <w:r w:rsidRPr="00127982">
        <w:rPr>
          <w:vertAlign w:val="subscript"/>
        </w:rPr>
        <w:t>0</w:t>
      </w:r>
      <w:r w:rsidRPr="00127982">
        <w:t>)/2)/188</w:t>
      </w:r>
    </w:p>
    <w:p w14:paraId="7CE6E446" w14:textId="77777777" w:rsidR="00127982" w:rsidRPr="00127982" w:rsidRDefault="00127982" w:rsidP="00127982">
      <w:pPr>
        <w:pStyle w:val="LiteraturaUMAR"/>
      </w:pPr>
    </w:p>
    <w:p w14:paraId="40D03E27" w14:textId="77777777" w:rsidR="00127982" w:rsidRPr="00127982" w:rsidRDefault="00127982" w:rsidP="00127982">
      <w:pPr>
        <w:pStyle w:val="LiteraturaUMAR"/>
      </w:pPr>
      <w:r w:rsidRPr="00127982">
        <w:t>KAZALNIK GOSPODARNOSTI</w:t>
      </w:r>
    </w:p>
    <w:p w14:paraId="0FED273A" w14:textId="77777777" w:rsidR="00127982" w:rsidRPr="00127982" w:rsidRDefault="00127982" w:rsidP="00127982">
      <w:pPr>
        <w:pStyle w:val="LiteraturaUMAR"/>
        <w:rPr>
          <w:b/>
        </w:rPr>
      </w:pPr>
      <w:r w:rsidRPr="00127982">
        <w:rPr>
          <w:b/>
        </w:rPr>
        <w:t xml:space="preserve">Gospodarnost poslovanja = poslovni prihodki/poslovni odhodki </w:t>
      </w:r>
    </w:p>
    <w:p w14:paraId="1806935F" w14:textId="77777777" w:rsidR="00127982" w:rsidRPr="00127982" w:rsidRDefault="00127982" w:rsidP="00127982">
      <w:pPr>
        <w:pStyle w:val="LiteraturaUMAR"/>
      </w:pPr>
      <w:r w:rsidRPr="00127982">
        <w:t>(126/127)</w:t>
      </w:r>
    </w:p>
    <w:p w14:paraId="4F5058EF" w14:textId="77777777" w:rsidR="00127982" w:rsidRPr="00127982" w:rsidRDefault="00127982" w:rsidP="00127982">
      <w:pPr>
        <w:pStyle w:val="LiteraturaUMAR"/>
      </w:pPr>
    </w:p>
    <w:p w14:paraId="5870B638" w14:textId="77777777" w:rsidR="00127982" w:rsidRPr="00127982" w:rsidRDefault="00127982" w:rsidP="00127982">
      <w:pPr>
        <w:pStyle w:val="LiteraturaUMAR"/>
      </w:pPr>
      <w:r w:rsidRPr="00127982">
        <w:t>KAZALNIKI DONOSNOSTI</w:t>
      </w:r>
    </w:p>
    <w:p w14:paraId="770B63AC" w14:textId="77777777" w:rsidR="00127982" w:rsidRPr="00127982" w:rsidRDefault="00127982" w:rsidP="00127982">
      <w:pPr>
        <w:pStyle w:val="LiteraturaUMAR"/>
        <w:rPr>
          <w:b/>
        </w:rPr>
      </w:pPr>
      <w:r w:rsidRPr="00127982">
        <w:rPr>
          <w:b/>
        </w:rPr>
        <w:t>Donosnost sredstev = neto čisti dobiček (izguba) obračunskega obdobja/povprečna* sredstva</w:t>
      </w:r>
    </w:p>
    <w:p w14:paraId="0AFBBBD1" w14:textId="77777777" w:rsidR="00127982" w:rsidRPr="00127982" w:rsidRDefault="00127982" w:rsidP="00127982">
      <w:pPr>
        <w:pStyle w:val="LiteraturaUMAR"/>
      </w:pPr>
      <w:r w:rsidRPr="00127982">
        <w:t>(186–187)/((001</w:t>
      </w:r>
      <w:r w:rsidRPr="00127982">
        <w:rPr>
          <w:vertAlign w:val="subscript"/>
        </w:rPr>
        <w:t>1</w:t>
      </w:r>
      <w:r w:rsidRPr="00127982">
        <w:t xml:space="preserve"> + 001</w:t>
      </w:r>
      <w:r w:rsidRPr="00127982">
        <w:rPr>
          <w:vertAlign w:val="subscript"/>
        </w:rPr>
        <w:t>0</w:t>
      </w:r>
      <w:r w:rsidRPr="00127982">
        <w:t xml:space="preserve">)/2) </w:t>
      </w:r>
    </w:p>
    <w:p w14:paraId="7660FDFD" w14:textId="77777777" w:rsidR="00127982" w:rsidRPr="00127982" w:rsidRDefault="00127982" w:rsidP="00127982">
      <w:pPr>
        <w:pStyle w:val="LiteraturaUMAR"/>
        <w:rPr>
          <w:b/>
        </w:rPr>
      </w:pPr>
      <w:r w:rsidRPr="00127982">
        <w:rPr>
          <w:b/>
        </w:rPr>
        <w:t>Donosnost prihodkov = neto čisti dobiček (izguba) obračunskega obdobja/celotni prihodki</w:t>
      </w:r>
    </w:p>
    <w:p w14:paraId="01FCD48A" w14:textId="77777777" w:rsidR="00127982" w:rsidRPr="00127982" w:rsidRDefault="00127982" w:rsidP="00127982">
      <w:pPr>
        <w:pStyle w:val="LiteraturaUMAR"/>
      </w:pPr>
      <w:r w:rsidRPr="00127982">
        <w:t>(186–187)/(126 + 153 + 178)</w:t>
      </w:r>
    </w:p>
    <w:p w14:paraId="5B726EE6" w14:textId="77777777" w:rsidR="00127982" w:rsidRPr="00127982" w:rsidRDefault="00127982" w:rsidP="00127982">
      <w:pPr>
        <w:pStyle w:val="LiteraturaUMAR"/>
        <w:rPr>
          <w:b/>
        </w:rPr>
      </w:pPr>
      <w:r w:rsidRPr="00127982">
        <w:rPr>
          <w:b/>
        </w:rPr>
        <w:t>Donosnost kapitala = neto čisti dobiček (izguba) obračunskega obdobja/povprečni* kapital</w:t>
      </w:r>
    </w:p>
    <w:p w14:paraId="5015534F" w14:textId="77777777" w:rsidR="00127982" w:rsidRPr="00127982" w:rsidRDefault="00127982" w:rsidP="00127982">
      <w:pPr>
        <w:pStyle w:val="LiteraturaUMAR"/>
      </w:pPr>
      <w:r w:rsidRPr="00127982">
        <w:t>(186–187)/((056</w:t>
      </w:r>
      <w:r w:rsidRPr="00127982">
        <w:rPr>
          <w:vertAlign w:val="subscript"/>
        </w:rPr>
        <w:t>1</w:t>
      </w:r>
      <w:r w:rsidRPr="00127982">
        <w:t xml:space="preserve"> + 056</w:t>
      </w:r>
      <w:r w:rsidRPr="00127982">
        <w:rPr>
          <w:vertAlign w:val="subscript"/>
        </w:rPr>
        <w:t>0</w:t>
      </w:r>
      <w:r w:rsidRPr="00127982">
        <w:t>)/2)</w:t>
      </w:r>
    </w:p>
    <w:p w14:paraId="5D29E1CD" w14:textId="77777777" w:rsidR="00127982" w:rsidRPr="00127982" w:rsidRDefault="00127982" w:rsidP="00127982">
      <w:pPr>
        <w:pStyle w:val="LiteraturaUMAR"/>
      </w:pPr>
    </w:p>
    <w:p w14:paraId="2AC86917" w14:textId="77777777" w:rsidR="00127982" w:rsidRPr="00127982" w:rsidRDefault="00127982" w:rsidP="00127982">
      <w:pPr>
        <w:pStyle w:val="LiteraturaUMAR"/>
      </w:pPr>
      <w:r w:rsidRPr="00127982">
        <w:t>KAZALNIK PRODUKTIVNOSTI</w:t>
      </w:r>
    </w:p>
    <w:p w14:paraId="6574553F" w14:textId="77777777" w:rsidR="00127982" w:rsidRPr="00127982" w:rsidRDefault="00127982" w:rsidP="00127982">
      <w:pPr>
        <w:pStyle w:val="LiteraturaUMAR"/>
        <w:rPr>
          <w:b/>
        </w:rPr>
      </w:pPr>
      <w:r w:rsidRPr="00127982">
        <w:rPr>
          <w:b/>
        </w:rPr>
        <w:t xml:space="preserve">Dodana vrednost na zaposlenega </w:t>
      </w:r>
    </w:p>
    <w:p w14:paraId="3AF72D13" w14:textId="77777777" w:rsidR="00127982" w:rsidRPr="00127982" w:rsidRDefault="00127982" w:rsidP="00127982">
      <w:pPr>
        <w:pStyle w:val="LiteraturaUMAR"/>
      </w:pPr>
      <w:r w:rsidRPr="00127982">
        <w:t xml:space="preserve">(126–128–148)/188 </w:t>
      </w:r>
    </w:p>
    <w:p w14:paraId="37890DEA" w14:textId="77777777" w:rsidR="00127982" w:rsidRPr="00127982" w:rsidRDefault="00127982" w:rsidP="00127982">
      <w:pPr>
        <w:pStyle w:val="LiteraturaUMAR"/>
      </w:pPr>
    </w:p>
    <w:p w14:paraId="1FE7A5F2" w14:textId="77777777" w:rsidR="00127982" w:rsidRPr="00127982" w:rsidRDefault="00127982" w:rsidP="00127982">
      <w:pPr>
        <w:pStyle w:val="LiteraturaUMAR"/>
      </w:pPr>
      <w:r w:rsidRPr="00127982">
        <w:t>KAZALNIKA STROŠKOV DELA</w:t>
      </w:r>
    </w:p>
    <w:p w14:paraId="14D609E3" w14:textId="77777777" w:rsidR="00127982" w:rsidRPr="00127982" w:rsidRDefault="00127982" w:rsidP="00127982">
      <w:pPr>
        <w:pStyle w:val="LiteraturaUMAR"/>
        <w:rPr>
          <w:b/>
        </w:rPr>
      </w:pPr>
      <w:r w:rsidRPr="00127982">
        <w:rPr>
          <w:b/>
        </w:rPr>
        <w:t xml:space="preserve">Stroški dela na zaposlenega </w:t>
      </w:r>
    </w:p>
    <w:p w14:paraId="7245FC30" w14:textId="77777777" w:rsidR="00127982" w:rsidRPr="00127982" w:rsidRDefault="00127982" w:rsidP="00127982">
      <w:pPr>
        <w:pStyle w:val="LiteraturaUMAR"/>
      </w:pPr>
      <w:r w:rsidRPr="00127982">
        <w:t>(139/188)</w:t>
      </w:r>
    </w:p>
    <w:p w14:paraId="01E8BC85" w14:textId="77777777" w:rsidR="00127982" w:rsidRPr="00127982" w:rsidRDefault="00127982" w:rsidP="00127982">
      <w:pPr>
        <w:pStyle w:val="LiteraturaUMAR"/>
        <w:rPr>
          <w:b/>
        </w:rPr>
      </w:pPr>
      <w:r w:rsidRPr="00127982">
        <w:rPr>
          <w:b/>
        </w:rPr>
        <w:t>Delež stroškov dela v dodani vrednosti</w:t>
      </w:r>
    </w:p>
    <w:p w14:paraId="5894F030" w14:textId="77777777" w:rsidR="00127982" w:rsidRPr="00127982" w:rsidRDefault="00127982" w:rsidP="00127982">
      <w:pPr>
        <w:pStyle w:val="LiteraturaUMAR"/>
      </w:pPr>
      <w:r w:rsidRPr="00127982">
        <w:t>(139/(126–128–148))</w:t>
      </w:r>
    </w:p>
    <w:p w14:paraId="64CF5248" w14:textId="77777777" w:rsidR="00127982" w:rsidRPr="00127982" w:rsidRDefault="00127982" w:rsidP="00127982">
      <w:pPr>
        <w:pStyle w:val="LiteraturaUMAR"/>
      </w:pPr>
    </w:p>
    <w:p w14:paraId="15E253E4" w14:textId="77777777" w:rsidR="005454CE" w:rsidRDefault="005454CE">
      <w:pPr>
        <w:spacing w:after="0" w:line="240" w:lineRule="auto"/>
        <w:rPr>
          <w:rFonts w:ascii="Myriad Pro" w:hAnsi="Myriad Pro"/>
          <w:kern w:val="0"/>
          <w:sz w:val="20"/>
          <w14:ligatures w14:val="none"/>
        </w:rPr>
      </w:pPr>
      <w:r>
        <w:br w:type="page"/>
      </w:r>
    </w:p>
    <w:p w14:paraId="009473C5" w14:textId="21640A0D" w:rsidR="00127982" w:rsidRPr="00127982" w:rsidRDefault="00127982" w:rsidP="00127982">
      <w:pPr>
        <w:pStyle w:val="LiteraturaUMAR"/>
      </w:pPr>
      <w:r w:rsidRPr="00127982">
        <w:lastRenderedPageBreak/>
        <w:t>KAZALNIKI FINANCIRANJA IN PLAČILNE SPOSOBNOSTI</w:t>
      </w:r>
    </w:p>
    <w:p w14:paraId="5A29F759" w14:textId="77777777" w:rsidR="00127982" w:rsidRPr="00127982" w:rsidRDefault="00127982" w:rsidP="00C44361">
      <w:pPr>
        <w:pStyle w:val="LiteraturaUMAR"/>
        <w:ind w:left="0" w:firstLine="0"/>
        <w:rPr>
          <w:b/>
        </w:rPr>
      </w:pPr>
      <w:r w:rsidRPr="00127982">
        <w:rPr>
          <w:b/>
        </w:rPr>
        <w:t>Delež dolga (kratkoročne in dolgoročne finančne ter poslovne obveznosti, rezervacije in pasivne časovne razmejitve) v virih sredstev</w:t>
      </w:r>
    </w:p>
    <w:p w14:paraId="170306AC" w14:textId="77777777" w:rsidR="00127982" w:rsidRPr="00127982" w:rsidRDefault="00127982" w:rsidP="00127982">
      <w:pPr>
        <w:pStyle w:val="LiteraturaUMAR"/>
      </w:pPr>
      <w:r w:rsidRPr="00127982">
        <w:t>((072 + 075 + 085 + 095)/055)</w:t>
      </w:r>
    </w:p>
    <w:p w14:paraId="6A23C4A8" w14:textId="77777777" w:rsidR="00127982" w:rsidRPr="00127982" w:rsidRDefault="00127982" w:rsidP="00127982">
      <w:pPr>
        <w:pStyle w:val="LiteraturaUMAR"/>
        <w:rPr>
          <w:b/>
        </w:rPr>
      </w:pPr>
      <w:r w:rsidRPr="00127982">
        <w:rPr>
          <w:b/>
        </w:rPr>
        <w:t xml:space="preserve">Delež kratkoročnih obveznosti (s pasivnimi časovnimi razmejitvami) v virih sredstev </w:t>
      </w:r>
    </w:p>
    <w:p w14:paraId="793C4881" w14:textId="77777777" w:rsidR="00127982" w:rsidRPr="00127982" w:rsidRDefault="00127982" w:rsidP="00127982">
      <w:pPr>
        <w:pStyle w:val="LiteraturaUMAR"/>
      </w:pPr>
      <w:r w:rsidRPr="00127982">
        <w:t>((085 + 095)/055)</w:t>
      </w:r>
    </w:p>
    <w:p w14:paraId="18B67726" w14:textId="77777777" w:rsidR="00127982" w:rsidRPr="00127982" w:rsidRDefault="00127982" w:rsidP="00127982">
      <w:pPr>
        <w:pStyle w:val="LiteraturaUMAR"/>
        <w:rPr>
          <w:b/>
        </w:rPr>
      </w:pPr>
      <w:r w:rsidRPr="00127982">
        <w:rPr>
          <w:b/>
        </w:rPr>
        <w:t>Kapitalska pokritost dolgoročnih sredstev</w:t>
      </w:r>
    </w:p>
    <w:p w14:paraId="2B05B111" w14:textId="77777777" w:rsidR="00127982" w:rsidRPr="00127982" w:rsidRDefault="00127982" w:rsidP="00127982">
      <w:pPr>
        <w:pStyle w:val="LiteraturaUMAR"/>
      </w:pPr>
      <w:r w:rsidRPr="00127982">
        <w:t>(056/002)</w:t>
      </w:r>
    </w:p>
    <w:p w14:paraId="14669EDD" w14:textId="77777777" w:rsidR="00127982" w:rsidRPr="00127982" w:rsidRDefault="00127982" w:rsidP="00127982">
      <w:pPr>
        <w:pStyle w:val="LiteraturaUMAR"/>
        <w:rPr>
          <w:b/>
        </w:rPr>
      </w:pPr>
      <w:r w:rsidRPr="00127982">
        <w:rPr>
          <w:b/>
        </w:rPr>
        <w:t>Dolgoročna pokritost dolgoročnih sredstev in zalog</w:t>
      </w:r>
    </w:p>
    <w:p w14:paraId="3FE934EA" w14:textId="77777777" w:rsidR="00127982" w:rsidRPr="00127982" w:rsidRDefault="00127982" w:rsidP="00127982">
      <w:pPr>
        <w:pStyle w:val="LiteraturaUMAR"/>
      </w:pPr>
      <w:r w:rsidRPr="00127982">
        <w:t>(056 + 072 + 075)/(002 + 034)</w:t>
      </w:r>
    </w:p>
    <w:p w14:paraId="3D259422" w14:textId="77777777" w:rsidR="00127982" w:rsidRPr="00127982" w:rsidRDefault="00127982" w:rsidP="005454CE">
      <w:pPr>
        <w:pStyle w:val="LiteraturaUMAR"/>
        <w:ind w:left="0" w:firstLine="0"/>
      </w:pPr>
    </w:p>
    <w:p w14:paraId="492D31BF" w14:textId="77777777" w:rsidR="00127982" w:rsidRPr="00127982" w:rsidRDefault="00127982" w:rsidP="005454CE">
      <w:pPr>
        <w:pStyle w:val="LiteraturaUMAR"/>
        <w:ind w:left="0" w:firstLine="0"/>
      </w:pPr>
      <w:r w:rsidRPr="00127982">
        <w:t>KAZALNIK IZVOZNE USMERJENOSTI</w:t>
      </w:r>
    </w:p>
    <w:p w14:paraId="65DA43FA" w14:textId="77777777" w:rsidR="00127982" w:rsidRPr="00127982" w:rsidRDefault="00127982" w:rsidP="00127982">
      <w:pPr>
        <w:pStyle w:val="LiteraturaUMAR"/>
        <w:rPr>
          <w:b/>
        </w:rPr>
      </w:pPr>
      <w:r w:rsidRPr="00127982">
        <w:rPr>
          <w:b/>
        </w:rPr>
        <w:t xml:space="preserve">Delež čistih prihodkov od prodaje na tujem trgu v celotnih čistih prihodkih od prodaje </w:t>
      </w:r>
    </w:p>
    <w:p w14:paraId="016EB4A0" w14:textId="77777777" w:rsidR="00127982" w:rsidRPr="00127982" w:rsidRDefault="00127982" w:rsidP="00127982">
      <w:pPr>
        <w:pStyle w:val="LiteraturaUMAR"/>
      </w:pPr>
      <w:r w:rsidRPr="00127982">
        <w:t>(115 + 118)/110</w:t>
      </w:r>
    </w:p>
    <w:p w14:paraId="0F1419B2" w14:textId="77777777" w:rsidR="00127982" w:rsidRPr="00127982" w:rsidRDefault="00127982" w:rsidP="00127982">
      <w:pPr>
        <w:pStyle w:val="LiteraturaUMAR"/>
      </w:pPr>
    </w:p>
    <w:p w14:paraId="112A84A8" w14:textId="77777777" w:rsidR="00127982" w:rsidRPr="00127982" w:rsidRDefault="00127982" w:rsidP="00127982">
      <w:pPr>
        <w:pStyle w:val="LiteraturaUMAR"/>
      </w:pPr>
      <w:r w:rsidRPr="00127982">
        <w:t xml:space="preserve">KAZALNIKA STRUKTURE SREDSTEV </w:t>
      </w:r>
    </w:p>
    <w:p w14:paraId="272FC87C" w14:textId="77777777" w:rsidR="00127982" w:rsidRPr="00127982" w:rsidRDefault="00127982" w:rsidP="00127982">
      <w:pPr>
        <w:pStyle w:val="LiteraturaUMAR"/>
        <w:rPr>
          <w:b/>
        </w:rPr>
      </w:pPr>
      <w:r w:rsidRPr="00127982">
        <w:rPr>
          <w:b/>
        </w:rPr>
        <w:t xml:space="preserve">Delež dolgoročnih sredstev v sredstvih </w:t>
      </w:r>
    </w:p>
    <w:p w14:paraId="6F2AF5A7" w14:textId="77777777" w:rsidR="00127982" w:rsidRPr="00127982" w:rsidRDefault="00127982" w:rsidP="00127982">
      <w:pPr>
        <w:pStyle w:val="LiteraturaUMAR"/>
      </w:pPr>
      <w:r w:rsidRPr="00127982">
        <w:t>(002/001)</w:t>
      </w:r>
    </w:p>
    <w:p w14:paraId="5E1EFD7E" w14:textId="77777777" w:rsidR="00127982" w:rsidRPr="00127982" w:rsidRDefault="00127982" w:rsidP="00127982">
      <w:pPr>
        <w:pStyle w:val="LiteraturaUMAR"/>
        <w:rPr>
          <w:b/>
        </w:rPr>
      </w:pPr>
      <w:r w:rsidRPr="00127982">
        <w:rPr>
          <w:b/>
        </w:rPr>
        <w:t xml:space="preserve">Delež proizvajalnih strojev in naprav ter druge opreme in naprav v dolgoročnih sredstvih </w:t>
      </w:r>
    </w:p>
    <w:p w14:paraId="65EFA9B5" w14:textId="77777777" w:rsidR="00127982" w:rsidRPr="00127982" w:rsidRDefault="00127982" w:rsidP="00127982">
      <w:pPr>
        <w:pStyle w:val="LiteraturaUMAR"/>
      </w:pPr>
      <w:r w:rsidRPr="00127982">
        <w:t>((013 + 014)/002)</w:t>
      </w:r>
    </w:p>
    <w:p w14:paraId="364E63EA" w14:textId="77777777" w:rsidR="00127982" w:rsidRPr="00127982" w:rsidRDefault="00127982" w:rsidP="00127982">
      <w:pPr>
        <w:pStyle w:val="LiteraturaUMAR"/>
      </w:pPr>
    </w:p>
    <w:p w14:paraId="785BD5B5" w14:textId="77777777" w:rsidR="00127982" w:rsidRPr="00127982" w:rsidRDefault="00127982" w:rsidP="00C44361">
      <w:pPr>
        <w:pStyle w:val="LiteraturaUMAR"/>
        <w:ind w:left="0" w:firstLine="0"/>
      </w:pPr>
      <w:r w:rsidRPr="00127982">
        <w:t>Opombi: Številke v formulah pomenijo ustrezno šifro AOP. * Pri izračunu povprečne vrednosti sredstev in kapitala se upošteva podatek o vrednosti sredstev/kapitala ob koncu tekočega in ob koncu preteklega leta za družbe, ki so poslovale v tekočem letu.</w:t>
      </w:r>
    </w:p>
    <w:p w14:paraId="22320B7C" w14:textId="77777777" w:rsidR="00127982" w:rsidRPr="00127982" w:rsidRDefault="00127982" w:rsidP="00127982">
      <w:pPr>
        <w:pStyle w:val="LiteraturaUMAR"/>
      </w:pPr>
    </w:p>
    <w:bookmarkEnd w:id="3"/>
    <w:p w14:paraId="69F19FF3" w14:textId="33AC5681" w:rsidR="00433EC8" w:rsidRPr="005454CE" w:rsidRDefault="00433EC8" w:rsidP="005454CE">
      <w:pPr>
        <w:pStyle w:val="LiteraturaUMAR"/>
        <w:ind w:left="0" w:firstLine="0"/>
      </w:pPr>
    </w:p>
    <w:sectPr w:rsidR="00433EC8" w:rsidRPr="005454CE" w:rsidSect="00DA3486">
      <w:headerReference w:type="default" r:id="rId24"/>
      <w:pgSz w:w="11906" w:h="16838"/>
      <w:pgMar w:top="1701" w:right="1418" w:bottom="1418" w:left="1418" w:header="56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79D9" w14:textId="77777777" w:rsidR="00554C7B" w:rsidRDefault="00554C7B" w:rsidP="009E1648">
      <w:r>
        <w:separator/>
      </w:r>
    </w:p>
    <w:p w14:paraId="725D41AF" w14:textId="77777777" w:rsidR="00554C7B" w:rsidRDefault="00554C7B" w:rsidP="009E1648"/>
    <w:p w14:paraId="7EADDE31" w14:textId="77777777" w:rsidR="00554C7B" w:rsidRDefault="00554C7B" w:rsidP="009E1648"/>
    <w:p w14:paraId="6F31F54F" w14:textId="77777777" w:rsidR="00554C7B" w:rsidRDefault="00554C7B" w:rsidP="009E1648"/>
    <w:p w14:paraId="6A9CCD1C" w14:textId="77777777" w:rsidR="00554C7B" w:rsidRDefault="00554C7B" w:rsidP="009E1648"/>
    <w:p w14:paraId="1C759D4A" w14:textId="77777777" w:rsidR="00554C7B" w:rsidRDefault="00554C7B" w:rsidP="009E1648"/>
    <w:p w14:paraId="671FEBDC" w14:textId="77777777" w:rsidR="00554C7B" w:rsidRDefault="00554C7B" w:rsidP="009E1648"/>
    <w:p w14:paraId="4EA837CE" w14:textId="77777777" w:rsidR="00554C7B" w:rsidRDefault="00554C7B" w:rsidP="009E1648"/>
    <w:p w14:paraId="2671AE5B" w14:textId="77777777" w:rsidR="00554C7B" w:rsidRDefault="00554C7B"/>
    <w:p w14:paraId="723AAEB3" w14:textId="77777777" w:rsidR="00554C7B" w:rsidRDefault="00554C7B"/>
    <w:p w14:paraId="504CFA78" w14:textId="77777777" w:rsidR="00554C7B" w:rsidRDefault="00554C7B" w:rsidP="00A540FA"/>
    <w:p w14:paraId="3431A7BC" w14:textId="77777777" w:rsidR="00554C7B" w:rsidRDefault="00554C7B" w:rsidP="00A540FA"/>
    <w:p w14:paraId="6FFC9E7A" w14:textId="77777777" w:rsidR="00554C7B" w:rsidRDefault="00554C7B" w:rsidP="00A540FA"/>
    <w:p w14:paraId="49589D97" w14:textId="77777777" w:rsidR="00554C7B" w:rsidRDefault="00554C7B" w:rsidP="00A540FA"/>
    <w:p w14:paraId="67A279A7" w14:textId="77777777" w:rsidR="00554C7B" w:rsidRDefault="00554C7B" w:rsidP="00A540FA"/>
    <w:p w14:paraId="5F21E6AA" w14:textId="77777777" w:rsidR="00554C7B" w:rsidRDefault="00554C7B"/>
  </w:endnote>
  <w:endnote w:type="continuationSeparator" w:id="0">
    <w:p w14:paraId="7D00E2E7" w14:textId="77777777" w:rsidR="00554C7B" w:rsidRDefault="00554C7B" w:rsidP="009E1648">
      <w:r>
        <w:continuationSeparator/>
      </w:r>
    </w:p>
    <w:p w14:paraId="260DB593" w14:textId="77777777" w:rsidR="00554C7B" w:rsidRDefault="00554C7B" w:rsidP="009E1648"/>
    <w:p w14:paraId="76FB9367" w14:textId="77777777" w:rsidR="00554C7B" w:rsidRDefault="00554C7B" w:rsidP="009E1648"/>
    <w:p w14:paraId="2C52CFCE" w14:textId="77777777" w:rsidR="00554C7B" w:rsidRDefault="00554C7B" w:rsidP="009E1648"/>
    <w:p w14:paraId="7FFACF33" w14:textId="77777777" w:rsidR="00554C7B" w:rsidRDefault="00554C7B" w:rsidP="009E1648"/>
    <w:p w14:paraId="53EBCEAA" w14:textId="77777777" w:rsidR="00554C7B" w:rsidRDefault="00554C7B" w:rsidP="009E1648"/>
    <w:p w14:paraId="18642268" w14:textId="77777777" w:rsidR="00554C7B" w:rsidRDefault="00554C7B" w:rsidP="009E1648"/>
    <w:p w14:paraId="5488B0AB" w14:textId="77777777" w:rsidR="00554C7B" w:rsidRDefault="00554C7B" w:rsidP="009E1648"/>
    <w:p w14:paraId="1AEE7580" w14:textId="77777777" w:rsidR="00554C7B" w:rsidRDefault="00554C7B"/>
    <w:p w14:paraId="491E801F" w14:textId="77777777" w:rsidR="00554C7B" w:rsidRDefault="00554C7B"/>
    <w:p w14:paraId="32261030" w14:textId="77777777" w:rsidR="00554C7B" w:rsidRDefault="00554C7B" w:rsidP="00A540FA"/>
    <w:p w14:paraId="7947BCA1" w14:textId="77777777" w:rsidR="00554C7B" w:rsidRDefault="00554C7B" w:rsidP="00A540FA"/>
    <w:p w14:paraId="501C595C" w14:textId="77777777" w:rsidR="00554C7B" w:rsidRDefault="00554C7B" w:rsidP="00A540FA"/>
    <w:p w14:paraId="6A9CF569" w14:textId="77777777" w:rsidR="00554C7B" w:rsidRDefault="00554C7B" w:rsidP="00A540FA"/>
    <w:p w14:paraId="227FB8EE" w14:textId="77777777" w:rsidR="00554C7B" w:rsidRDefault="00554C7B" w:rsidP="00A540FA"/>
    <w:p w14:paraId="18E638A3" w14:textId="77777777" w:rsidR="00554C7B" w:rsidRDefault="00554C7B"/>
  </w:endnote>
  <w:endnote w:type="continuationNotice" w:id="1">
    <w:p w14:paraId="485DFA60" w14:textId="77777777" w:rsidR="00554C7B" w:rsidRDefault="00554C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5CD1" w14:textId="77777777" w:rsidR="00554C7B" w:rsidRPr="009B56EE" w:rsidRDefault="00554C7B" w:rsidP="009B56EE">
      <w:pPr>
        <w:pStyle w:val="BesediloUMAR"/>
      </w:pPr>
      <w:r w:rsidRPr="009B56EE">
        <w:separator/>
      </w:r>
    </w:p>
  </w:footnote>
  <w:footnote w:type="continuationSeparator" w:id="0">
    <w:p w14:paraId="0964FA3C" w14:textId="77777777" w:rsidR="00554C7B" w:rsidRDefault="00554C7B">
      <w:r>
        <w:separator/>
      </w:r>
    </w:p>
  </w:footnote>
  <w:footnote w:type="continuationNotice" w:id="1">
    <w:p w14:paraId="1C978BEC" w14:textId="77777777" w:rsidR="00554C7B" w:rsidRDefault="00554C7B">
      <w:pPr>
        <w:spacing w:line="240" w:lineRule="auto"/>
      </w:pPr>
    </w:p>
  </w:footnote>
  <w:footnote w:id="2">
    <w:p w14:paraId="24326705" w14:textId="77777777" w:rsidR="00127982" w:rsidRPr="00E404E6" w:rsidRDefault="00127982" w:rsidP="00AF2A67">
      <w:pPr>
        <w:pStyle w:val="Sprotnaopomba-besedilo"/>
      </w:pPr>
      <w:r w:rsidRPr="00E404E6">
        <w:rPr>
          <w:rStyle w:val="Sprotnaopomba-sklic"/>
        </w:rPr>
        <w:footnoteRef/>
      </w:r>
      <w:r w:rsidRPr="00E404E6">
        <w:t xml:space="preserve"> Objavlja jih AJPES na podlagi letnih poročil, ki jih enkrat letno predložijo gospodarske družbe. </w:t>
      </w:r>
    </w:p>
  </w:footnote>
  <w:footnote w:id="3">
    <w:p w14:paraId="3E97C43F" w14:textId="384AA60B" w:rsidR="00127982" w:rsidRDefault="00127982" w:rsidP="00AF2A67">
      <w:pPr>
        <w:pStyle w:val="Sprotnaopomba-besedilo"/>
      </w:pPr>
      <w:r>
        <w:rPr>
          <w:rStyle w:val="Sprotnaopomba-sklic"/>
        </w:rPr>
        <w:footnoteRef/>
      </w:r>
      <w:r>
        <w:t xml:space="preserve"> Država je med epidemijo covida-19 za ohranjanje delovnih mest in podporo dohodkom zaposlenih sprejela številne ukrepe na trgu dela, na podlagi teh pa je podjetjem</w:t>
      </w:r>
      <w:r w:rsidRPr="005B3835">
        <w:t xml:space="preserve"> </w:t>
      </w:r>
      <w:r>
        <w:t>namenila subvencije, ki so predvsem leta 2020 močneje vplivale na višino dodane vrednosti.</w:t>
      </w:r>
      <w:r w:rsidRPr="006826AE">
        <w:t xml:space="preserve"> </w:t>
      </w:r>
      <w:r w:rsidRPr="005B3835">
        <w:t>Leta 2020 je bila</w:t>
      </w:r>
      <w:r>
        <w:t xml:space="preserve"> tako dodana vrednost</w:t>
      </w:r>
      <w:r w:rsidRPr="005B3835">
        <w:t xml:space="preserve"> višja za 1 %, brez upoštevanja prejetih subvencij</w:t>
      </w:r>
      <w:r>
        <w:t xml:space="preserve"> </w:t>
      </w:r>
      <w:r w:rsidRPr="005B3835">
        <w:t>pa se je zmanjšala za 2,2 %.</w:t>
      </w:r>
    </w:p>
  </w:footnote>
  <w:footnote w:id="4">
    <w:p w14:paraId="5F507C54" w14:textId="12802C76" w:rsidR="00127982" w:rsidRDefault="00127982" w:rsidP="00AF2A67">
      <w:pPr>
        <w:pStyle w:val="Sprotnaopomba-besedilo"/>
      </w:pPr>
      <w:r>
        <w:rPr>
          <w:rStyle w:val="Sprotnaopomba-sklic"/>
        </w:rPr>
        <w:footnoteRef/>
      </w:r>
      <w:r>
        <w:t xml:space="preserve"> Produktivnost v dejavnosti trgovine je bila v nominalnem znesku višja od povprečne produktivnosti gospodarskih družb od vključno leta 2019. Po tem ko je razlika med povprečno produktivnostjo trgovskih družb in povprečno produktivnostjo vseh gospodarskih družb v letih 2019 </w:t>
      </w:r>
      <w:r w:rsidR="007E670E">
        <w:t>ter</w:t>
      </w:r>
      <w:r>
        <w:t xml:space="preserve"> 2020 znašala 3 %, se je ta v letu 2021 povečala na 8 %, </w:t>
      </w:r>
      <w:r w:rsidR="00C77D17">
        <w:t xml:space="preserve">v </w:t>
      </w:r>
      <w:r>
        <w:t>let</w:t>
      </w:r>
      <w:r w:rsidR="00C77D17">
        <w:t>ih</w:t>
      </w:r>
      <w:r>
        <w:t xml:space="preserve"> 2022</w:t>
      </w:r>
      <w:r w:rsidR="00C77D17">
        <w:t xml:space="preserve"> in 2023</w:t>
      </w:r>
      <w:r>
        <w:t xml:space="preserve"> pa zmanjšala na 4 %.</w:t>
      </w:r>
    </w:p>
  </w:footnote>
  <w:footnote w:id="5">
    <w:p w14:paraId="41D30A3B" w14:textId="77777777" w:rsidR="00440058" w:rsidRPr="00E404E6" w:rsidRDefault="00440058" w:rsidP="00AF2A67">
      <w:pPr>
        <w:pStyle w:val="Sprotnaopomba-besedilo"/>
      </w:pPr>
      <w:r w:rsidRPr="00E404E6">
        <w:rPr>
          <w:vertAlign w:val="superscript"/>
        </w:rPr>
        <w:footnoteRef/>
      </w:r>
      <w:r w:rsidRPr="00E404E6">
        <w:t xml:space="preserve"> </w:t>
      </w:r>
      <w:r w:rsidRPr="0071078A">
        <w:t>Pribitek je izračunan kot razmerje med prihodki od prodaje in stroški za nabavo blaga, materiala in storitev ter stroški dela.</w:t>
      </w:r>
    </w:p>
  </w:footnote>
  <w:footnote w:id="6">
    <w:p w14:paraId="36FA7AE2" w14:textId="77777777" w:rsidR="008916EA" w:rsidRDefault="00B20CE5" w:rsidP="00AF2A67">
      <w:pPr>
        <w:pStyle w:val="Sprotnaopomba-besedilo"/>
      </w:pPr>
      <w:r>
        <w:rPr>
          <w:rStyle w:val="Sprotnaopomba-sklic"/>
        </w:rPr>
        <w:footnoteRef/>
      </w:r>
      <w:r>
        <w:t xml:space="preserve"> </w:t>
      </w:r>
      <w:r w:rsidR="008916EA">
        <w:t xml:space="preserve">Po upadu v obdobju </w:t>
      </w:r>
      <w:r w:rsidR="008916EA" w:rsidRPr="00652758">
        <w:t>20</w:t>
      </w:r>
      <w:r w:rsidR="008916EA">
        <w:t>20</w:t>
      </w:r>
      <w:r w:rsidR="008916EA" w:rsidRPr="00652758">
        <w:softHyphen/>
        <w:t>–20</w:t>
      </w:r>
      <w:r w:rsidR="008916EA">
        <w:t>22 se je prodaja novih osebnih avtomobilov v letu 2023 povečala za 5,4 %.</w:t>
      </w:r>
    </w:p>
    <w:p w14:paraId="075F39BA" w14:textId="7DC56613" w:rsidR="00B20CE5" w:rsidRPr="00584020" w:rsidRDefault="00B20CE5" w:rsidP="00AF2A67">
      <w:pPr>
        <w:pStyle w:val="Sprotnaopomba-besedilo"/>
      </w:pPr>
    </w:p>
  </w:footnote>
  <w:footnote w:id="7">
    <w:p w14:paraId="1AEACA21" w14:textId="77777777" w:rsidR="00127982" w:rsidRPr="00584020" w:rsidRDefault="00127982" w:rsidP="00AF2A67">
      <w:pPr>
        <w:pStyle w:val="Sprotnaopomba-besedilo"/>
      </w:pPr>
      <w:r w:rsidRPr="00584020">
        <w:rPr>
          <w:rStyle w:val="Sprotnaopomba-sklic"/>
        </w:rPr>
        <w:footnoteRef/>
      </w:r>
      <w:r w:rsidRPr="00584020">
        <w:t xml:space="preserve"> </w:t>
      </w:r>
      <w:r w:rsidRPr="00C971BD">
        <w:t>Družba je še leto prej poslovala z visoko neto izgubo iz poslovanja zaradi odpisov vrednosti. Zdravo jedro te družbe, ki se je v letih do vključno 2013 ukvarjala s trgovino na debelo s kovinskimi proizvodi, inštalacijskim materialom in napravami za ogrevanje, se je v letu 2014 registriralo v dejavnosti trgovine na drobno v specializiranih prodajalnah z gradbenim materialom, kovinskimi izdelki, barvami in steklom</w:t>
      </w:r>
      <w:r w:rsidRPr="00584020">
        <w:t>.</w:t>
      </w:r>
    </w:p>
  </w:footnote>
  <w:footnote w:id="8">
    <w:p w14:paraId="410F946B" w14:textId="340A96E8" w:rsidR="00127982" w:rsidRDefault="00127982" w:rsidP="00AF2A67">
      <w:pPr>
        <w:pStyle w:val="Sprotnaopomba-besedilo"/>
      </w:pPr>
      <w:r>
        <w:rPr>
          <w:rStyle w:val="Sprotnaopomba-sklic"/>
        </w:rPr>
        <w:footnoteRef/>
      </w:r>
      <w:r>
        <w:t xml:space="preserve"> L</w:t>
      </w:r>
      <w:r w:rsidRPr="00CE2BF4">
        <w:t xml:space="preserve">eta 2021 </w:t>
      </w:r>
      <w:r>
        <w:t>se je skupaj</w:t>
      </w:r>
      <w:r w:rsidRPr="00CE2BF4">
        <w:t xml:space="preserve"> povečal za 255 mio evrov</w:t>
      </w:r>
      <w:r>
        <w:t>, leta 2022 zmanjšal za 252,7 mio evrov</w:t>
      </w:r>
      <w:r w:rsidR="00AE547C">
        <w:t xml:space="preserve"> in leta 2023 povečal za 161,4 mio evrov</w:t>
      </w:r>
      <w:r>
        <w:t>.</w:t>
      </w:r>
    </w:p>
  </w:footnote>
  <w:footnote w:id="9">
    <w:p w14:paraId="54BDFCEF" w14:textId="77777777" w:rsidR="00F64621" w:rsidRDefault="00F64621" w:rsidP="00AF2A67">
      <w:pPr>
        <w:pStyle w:val="Sprotnaopomba-besedilo"/>
      </w:pPr>
      <w:r>
        <w:rPr>
          <w:rStyle w:val="Sprotnaopomba-sklic"/>
        </w:rPr>
        <w:footnoteRef/>
      </w:r>
      <w:r>
        <w:t xml:space="preserve"> </w:t>
      </w:r>
      <w:r w:rsidRPr="00CE2BF4">
        <w:t>Na nihanja v uspešnosti poslovanja skupine so zelo vplivala predvsem nihanja v vrednosti oslabitev nepremičnin in opreme, ki so vplival</w:t>
      </w:r>
      <w:r>
        <w:t>a</w:t>
      </w:r>
      <w:r w:rsidRPr="00CE2BF4">
        <w:t xml:space="preserve"> na finančno poslovanje</w:t>
      </w:r>
      <w:r>
        <w:t>,</w:t>
      </w:r>
      <w:r w:rsidRPr="00CE2BF4">
        <w:t xml:space="preserve"> ter odpi</w:t>
      </w:r>
      <w:r>
        <w:t>si</w:t>
      </w:r>
      <w:r w:rsidRPr="00CE2BF4">
        <w:t xml:space="preserve"> zaradi prevrednotenja finančnih naložb, ki so vplivali na višino poslovnih odhodkov in neto rezultat poslovanj</w:t>
      </w:r>
      <w:r>
        <w:t>a. Zaradi visokega povečanja oslabitev</w:t>
      </w:r>
      <w:r w:rsidRPr="00943C7D">
        <w:t xml:space="preserve"> nepremičnin </w:t>
      </w:r>
      <w:r>
        <w:t>ter</w:t>
      </w:r>
      <w:r w:rsidRPr="00943C7D">
        <w:t xml:space="preserve"> opreme in odpisov zaradi prevrednotenja finančnih nalo</w:t>
      </w:r>
      <w:r>
        <w:t xml:space="preserve">žb večje družbe v tej panogi, je celotna skupina </w:t>
      </w:r>
      <w:r w:rsidRPr="00943C7D">
        <w:t>let</w:t>
      </w:r>
      <w:r>
        <w:t>o</w:t>
      </w:r>
      <w:r w:rsidRPr="00943C7D">
        <w:t xml:space="preserve"> 2017 </w:t>
      </w:r>
      <w:r>
        <w:t>zaključila</w:t>
      </w:r>
      <w:r w:rsidRPr="00943C7D">
        <w:t xml:space="preserve"> z visoko neto izgubo iz financiranja (medletno povišanje za 347,7</w:t>
      </w:r>
      <w:r>
        <w:t> %</w:t>
      </w:r>
      <w:r w:rsidRPr="00943C7D">
        <w:t>)</w:t>
      </w:r>
      <w:r>
        <w:t>. Ta se je v naslednjih dveh letih več kot prepolovila. Visoki odpisi vrednosti pa so vplivali na močno povišanje poslovnih odhodkov, zaradi katerih so družbe leto 2017 zaključile z neto izgubo iz poslovanja, ki se je leta 2018 prevesila v visok dobiček iz poslovanja.</w:t>
      </w:r>
    </w:p>
  </w:footnote>
  <w:footnote w:id="10">
    <w:p w14:paraId="179D2FD9" w14:textId="77777777" w:rsidR="00F64621" w:rsidRDefault="00F64621" w:rsidP="00AF2A67">
      <w:pPr>
        <w:pStyle w:val="Sprotnaopomba-besedilo"/>
      </w:pPr>
      <w:r>
        <w:rPr>
          <w:rStyle w:val="Sprotnaopomba-sklic"/>
        </w:rPr>
        <w:footnoteRef/>
      </w:r>
      <w:r>
        <w:t xml:space="preserve"> Ki je nastala zaradi</w:t>
      </w:r>
      <w:r w:rsidRPr="00CE2BF4">
        <w:t xml:space="preserve"> precej višjih finančnih odhodk</w:t>
      </w:r>
      <w:r>
        <w:t>ov</w:t>
      </w:r>
      <w:r w:rsidRPr="00CE2BF4">
        <w:t xml:space="preserve"> zaradi povečanja oslabitev</w:t>
      </w:r>
      <w:r>
        <w:t>.</w:t>
      </w:r>
    </w:p>
  </w:footnote>
  <w:footnote w:id="11">
    <w:p w14:paraId="3E8289EF" w14:textId="77777777" w:rsidR="00E87345" w:rsidRPr="00712A35" w:rsidRDefault="00E87345" w:rsidP="00AF2A67">
      <w:pPr>
        <w:pStyle w:val="Sprotnaopomba-besedilo"/>
      </w:pPr>
      <w:r>
        <w:rPr>
          <w:rStyle w:val="Sprotnaopomba-sklic"/>
        </w:rPr>
        <w:footnoteRef/>
      </w:r>
      <w:r w:rsidRPr="00712A35">
        <w:t xml:space="preserve"> </w:t>
      </w:r>
      <w:r>
        <w:t>N</w:t>
      </w:r>
      <w:r w:rsidRPr="00712A35">
        <w:t xml:space="preserve">a </w:t>
      </w:r>
      <w:r>
        <w:t>to</w:t>
      </w:r>
      <w:r w:rsidRPr="00712A35">
        <w:t xml:space="preserve"> je vplivalo zmanjšanje neto dobička iz poslovanja (zaradi povečanja odpisov vrednosti oz. amortizacije dveh večjih družb v tej panogi) in poslovanje z neto izgubo iz financiranja</w:t>
      </w:r>
      <w:r>
        <w:t>.</w:t>
      </w:r>
    </w:p>
  </w:footnote>
  <w:footnote w:id="12">
    <w:p w14:paraId="30F279A1" w14:textId="77777777" w:rsidR="00E87345" w:rsidRDefault="00E87345" w:rsidP="00AF2A67">
      <w:pPr>
        <w:pStyle w:val="Sprotnaopomba-besedilo"/>
      </w:pPr>
      <w:r>
        <w:rPr>
          <w:rStyle w:val="Sprotnaopomba-sklic"/>
        </w:rPr>
        <w:footnoteRef/>
      </w:r>
      <w:r>
        <w:t xml:space="preserve"> Nabavna vrednost prodanega blaga se je povečala za 103,4 % na 8,7 mrd evrov. </w:t>
      </w:r>
    </w:p>
  </w:footnote>
  <w:footnote w:id="13">
    <w:p w14:paraId="4B60C515" w14:textId="77777777" w:rsidR="00623103" w:rsidRPr="00E404E6" w:rsidRDefault="00623103" w:rsidP="00AF2A67">
      <w:pPr>
        <w:pStyle w:val="Sprotnaopomba-besedilo"/>
      </w:pPr>
      <w:r w:rsidRPr="00E404E6">
        <w:rPr>
          <w:rStyle w:val="Sprotnaopomba-sklic"/>
        </w:rPr>
        <w:footnoteRef/>
      </w:r>
      <w:r w:rsidRPr="00E404E6">
        <w:rPr>
          <w:rStyle w:val="Sprotnaopomba-sklic"/>
        </w:rPr>
        <w:t xml:space="preserve"> </w:t>
      </w:r>
      <w:r w:rsidRPr="00E404E6">
        <w:t>Družbe, ki so po SKD registrirane v 47.110.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E139" w14:textId="77777777" w:rsidR="00F76910" w:rsidRPr="008640CB" w:rsidRDefault="00F76910" w:rsidP="008640C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35D9" w14:textId="77777777" w:rsidR="006D7C8B" w:rsidRDefault="006D7C8B" w:rsidP="00C443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8276"/>
      <w:gridCol w:w="796"/>
    </w:tblGrid>
    <w:tr w:rsidR="00C44361" w:rsidRPr="00A540FA" w14:paraId="796EFADA" w14:textId="77777777" w:rsidTr="00287C4E">
      <w:trPr>
        <w:trHeight w:val="552"/>
      </w:trPr>
      <w:tc>
        <w:tcPr>
          <w:tcW w:w="8276" w:type="dxa"/>
        </w:tcPr>
        <w:p w14:paraId="43DF0D84" w14:textId="77777777" w:rsidR="00C44361" w:rsidRPr="00F43CB0" w:rsidRDefault="00C44361" w:rsidP="004016AB">
          <w:pPr>
            <w:pStyle w:val="Glava"/>
            <w:tabs>
              <w:tab w:val="clear" w:pos="4536"/>
              <w:tab w:val="clear" w:pos="9072"/>
              <w:tab w:val="right" w:pos="8276"/>
            </w:tabs>
            <w:spacing w:line="240" w:lineRule="auto"/>
            <w:rPr>
              <w:rFonts w:cstheme="minorHAnsi"/>
              <w:b/>
              <w:sz w:val="16"/>
            </w:rPr>
          </w:pPr>
          <w:r>
            <w:rPr>
              <w:rFonts w:cstheme="minorHAnsi"/>
              <w:b/>
              <w:sz w:val="16"/>
            </w:rPr>
            <w:t xml:space="preserve">UMAR </w:t>
          </w:r>
          <w:r w:rsidRPr="00F43CB0">
            <w:rPr>
              <w:rFonts w:cstheme="minorHAnsi"/>
              <w:b/>
              <w:sz w:val="16"/>
            </w:rPr>
            <w:t xml:space="preserve"> </w:t>
          </w:r>
          <w:r w:rsidRPr="00D23287">
            <w:rPr>
              <w:rFonts w:cstheme="minorHAnsi"/>
              <w:b/>
              <w:color w:val="9E001A" w:themeColor="accent1"/>
              <w:sz w:val="18"/>
              <w:szCs w:val="24"/>
            </w:rPr>
            <w:t>/</w:t>
          </w:r>
          <w:r>
            <w:rPr>
              <w:rFonts w:cstheme="minorHAnsi"/>
              <w:b/>
              <w:sz w:val="16"/>
            </w:rPr>
            <w:t xml:space="preserve">  Poslovanje trgovskih gospodarskih družb do leta 2023</w:t>
          </w:r>
          <w:r>
            <w:rPr>
              <w:rFonts w:cstheme="minorHAnsi"/>
              <w:b/>
              <w:sz w:val="16"/>
            </w:rPr>
            <w:tab/>
          </w:r>
        </w:p>
      </w:tc>
      <w:tc>
        <w:tcPr>
          <w:tcW w:w="796" w:type="dxa"/>
        </w:tcPr>
        <w:p w14:paraId="5F1666B4" w14:textId="77777777" w:rsidR="00C44361" w:rsidRPr="00B607E3" w:rsidRDefault="00C44361" w:rsidP="007444EC">
          <w:pPr>
            <w:pStyle w:val="Glava"/>
            <w:tabs>
              <w:tab w:val="left" w:pos="332"/>
              <w:tab w:val="center" w:pos="398"/>
              <w:tab w:val="right" w:pos="511"/>
              <w:tab w:val="right" w:pos="796"/>
            </w:tabs>
            <w:jc w:val="right"/>
            <w:rPr>
              <w:rFonts w:cstheme="minorHAnsi"/>
              <w:b/>
              <w:sz w:val="16"/>
              <w:szCs w:val="16"/>
            </w:rPr>
          </w:pPr>
          <w:r w:rsidRPr="00B607E3">
            <w:rPr>
              <w:rFonts w:cstheme="minorHAnsi"/>
              <w:b/>
              <w:sz w:val="16"/>
              <w:szCs w:val="16"/>
            </w:rPr>
            <w:fldChar w:fldCharType="begin"/>
          </w:r>
          <w:r w:rsidRPr="00B607E3">
            <w:rPr>
              <w:rFonts w:cstheme="minorHAnsi"/>
              <w:b/>
              <w:sz w:val="16"/>
              <w:szCs w:val="16"/>
            </w:rPr>
            <w:instrText xml:space="preserve"> PAGE  \* Arabic  \* MERGEFORMAT </w:instrText>
          </w:r>
          <w:r w:rsidRPr="00B607E3">
            <w:rPr>
              <w:rFonts w:cstheme="minorHAnsi"/>
              <w:b/>
              <w:sz w:val="16"/>
              <w:szCs w:val="16"/>
            </w:rPr>
            <w:fldChar w:fldCharType="separate"/>
          </w:r>
          <w:r>
            <w:rPr>
              <w:rFonts w:cstheme="minorHAnsi"/>
              <w:b/>
              <w:noProof/>
              <w:sz w:val="16"/>
              <w:szCs w:val="16"/>
            </w:rPr>
            <w:t>3</w:t>
          </w:r>
          <w:r w:rsidRPr="00B607E3">
            <w:rPr>
              <w:rFonts w:cstheme="minorHAnsi"/>
              <w:b/>
              <w:sz w:val="16"/>
              <w:szCs w:val="16"/>
            </w:rPr>
            <w:fldChar w:fldCharType="end"/>
          </w:r>
        </w:p>
      </w:tc>
    </w:tr>
  </w:tbl>
  <w:p w14:paraId="319A79E1" w14:textId="77777777" w:rsidR="00C44361" w:rsidRDefault="00C44361" w:rsidP="00C443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9AC"/>
    <w:multiLevelType w:val="hybridMultilevel"/>
    <w:tmpl w:val="409ABE48"/>
    <w:lvl w:ilvl="0" w:tplc="4ABEB312">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75A4772"/>
    <w:multiLevelType w:val="hybridMultilevel"/>
    <w:tmpl w:val="4208815A"/>
    <w:lvl w:ilvl="0" w:tplc="9C607CD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B060CD8"/>
    <w:multiLevelType w:val="multilevel"/>
    <w:tmpl w:val="76D2DDDC"/>
    <w:lvl w:ilvl="0">
      <w:start w:val="1"/>
      <w:numFmt w:val="decimal"/>
      <w:pStyle w:val="Naslov1"/>
      <w:lvlText w:val="%1"/>
      <w:lvlJc w:val="left"/>
      <w:pPr>
        <w:ind w:left="360" w:hanging="360"/>
      </w:pPr>
      <w:rPr>
        <w:rFonts w:hint="default"/>
      </w:rPr>
    </w:lvl>
    <w:lvl w:ilvl="1">
      <w:start w:val="1"/>
      <w:numFmt w:val="decimal"/>
      <w:pStyle w:val="Naslov2"/>
      <w:suff w:val="space"/>
      <w:lvlText w:val="%1.%2"/>
      <w:lvlJc w:val="left"/>
      <w:pPr>
        <w:ind w:left="0" w:firstLine="0"/>
      </w:pPr>
      <w:rPr>
        <w:rFonts w:hint="default"/>
      </w:rPr>
    </w:lvl>
    <w:lvl w:ilvl="2">
      <w:start w:val="1"/>
      <w:numFmt w:val="decimal"/>
      <w:pStyle w:val="Naslov3"/>
      <w:suff w:val="space"/>
      <w:lvlText w:val="%1.%2.%3"/>
      <w:lvlJc w:val="left"/>
      <w:pPr>
        <w:ind w:left="0" w:firstLine="0"/>
      </w:pPr>
      <w:rPr>
        <w:rFonts w:hint="default"/>
      </w:rPr>
    </w:lvl>
    <w:lvl w:ilvl="3">
      <w:start w:val="1"/>
      <w:numFmt w:val="decimal"/>
      <w:pStyle w:val="Naslov4"/>
      <w:suff w:val="space"/>
      <w:lvlText w:val="%1.%2.%3.%4"/>
      <w:lvlJc w:val="left"/>
      <w:pPr>
        <w:ind w:left="0" w:firstLine="0"/>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 w15:restartNumberingAfterBreak="0">
    <w:nsid w:val="5CB66A94"/>
    <w:multiLevelType w:val="singleLevel"/>
    <w:tmpl w:val="BEAEA458"/>
    <w:lvl w:ilvl="0">
      <w:start w:val="1"/>
      <w:numFmt w:val="decimal"/>
      <w:lvlText w:val="%1."/>
      <w:lvlJc w:val="left"/>
      <w:pPr>
        <w:tabs>
          <w:tab w:val="num" w:pos="360"/>
        </w:tabs>
        <w:ind w:left="360" w:hanging="360"/>
      </w:pPr>
      <w:rPr>
        <w:rFonts w:hint="default"/>
      </w:rPr>
    </w:lvl>
  </w:abstractNum>
  <w:num w:numId="1" w16cid:durableId="79177689">
    <w:abstractNumId w:val="3"/>
  </w:num>
  <w:num w:numId="2" w16cid:durableId="1959557571">
    <w:abstractNumId w:val="2"/>
  </w:num>
  <w:num w:numId="3" w16cid:durableId="1795443548">
    <w:abstractNumId w:val="0"/>
  </w:num>
  <w:num w:numId="4" w16cid:durableId="829978799">
    <w:abstractNumId w:val="1"/>
  </w:num>
  <w:num w:numId="5" w16cid:durableId="745954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568"/>
    <w:rsid w:val="00000DC6"/>
    <w:rsid w:val="000016CC"/>
    <w:rsid w:val="000026EC"/>
    <w:rsid w:val="000027DF"/>
    <w:rsid w:val="00002CAF"/>
    <w:rsid w:val="000032F1"/>
    <w:rsid w:val="00003E9D"/>
    <w:rsid w:val="00004DAC"/>
    <w:rsid w:val="00006657"/>
    <w:rsid w:val="00006975"/>
    <w:rsid w:val="00006BC6"/>
    <w:rsid w:val="000071B5"/>
    <w:rsid w:val="00007719"/>
    <w:rsid w:val="00013848"/>
    <w:rsid w:val="000141E1"/>
    <w:rsid w:val="00014DA7"/>
    <w:rsid w:val="00021509"/>
    <w:rsid w:val="00023A5C"/>
    <w:rsid w:val="00023FFD"/>
    <w:rsid w:val="0002452C"/>
    <w:rsid w:val="00024FA0"/>
    <w:rsid w:val="000267E2"/>
    <w:rsid w:val="00026ACB"/>
    <w:rsid w:val="0003011B"/>
    <w:rsid w:val="00033FF7"/>
    <w:rsid w:val="00035FBD"/>
    <w:rsid w:val="000365D0"/>
    <w:rsid w:val="0003751E"/>
    <w:rsid w:val="00037DDD"/>
    <w:rsid w:val="0004147D"/>
    <w:rsid w:val="00041BCA"/>
    <w:rsid w:val="00042B8F"/>
    <w:rsid w:val="000438D4"/>
    <w:rsid w:val="00054645"/>
    <w:rsid w:val="0005475A"/>
    <w:rsid w:val="000547F0"/>
    <w:rsid w:val="00055B75"/>
    <w:rsid w:val="000572B9"/>
    <w:rsid w:val="00057C74"/>
    <w:rsid w:val="00060302"/>
    <w:rsid w:val="00066A45"/>
    <w:rsid w:val="0007025B"/>
    <w:rsid w:val="00070B55"/>
    <w:rsid w:val="00072E0A"/>
    <w:rsid w:val="0007354C"/>
    <w:rsid w:val="00075D73"/>
    <w:rsid w:val="00077993"/>
    <w:rsid w:val="00077C63"/>
    <w:rsid w:val="00077E9C"/>
    <w:rsid w:val="0008109A"/>
    <w:rsid w:val="00083E22"/>
    <w:rsid w:val="00084484"/>
    <w:rsid w:val="000858E4"/>
    <w:rsid w:val="000918F3"/>
    <w:rsid w:val="0009247A"/>
    <w:rsid w:val="000929C6"/>
    <w:rsid w:val="00092DA8"/>
    <w:rsid w:val="000936DA"/>
    <w:rsid w:val="000968B4"/>
    <w:rsid w:val="000969D0"/>
    <w:rsid w:val="00096DB6"/>
    <w:rsid w:val="000A1F78"/>
    <w:rsid w:val="000A528A"/>
    <w:rsid w:val="000A6E55"/>
    <w:rsid w:val="000A78C0"/>
    <w:rsid w:val="000B0C7C"/>
    <w:rsid w:val="000B177F"/>
    <w:rsid w:val="000B1E80"/>
    <w:rsid w:val="000B2CC4"/>
    <w:rsid w:val="000B3619"/>
    <w:rsid w:val="000B48FF"/>
    <w:rsid w:val="000B75F3"/>
    <w:rsid w:val="000C1C5A"/>
    <w:rsid w:val="000C2CAF"/>
    <w:rsid w:val="000C40B0"/>
    <w:rsid w:val="000C43BF"/>
    <w:rsid w:val="000C4E62"/>
    <w:rsid w:val="000C5063"/>
    <w:rsid w:val="000C66F6"/>
    <w:rsid w:val="000D0C8F"/>
    <w:rsid w:val="000D1E72"/>
    <w:rsid w:val="000D4CA8"/>
    <w:rsid w:val="000E0B25"/>
    <w:rsid w:val="000E1358"/>
    <w:rsid w:val="000E3BEC"/>
    <w:rsid w:val="000E70CE"/>
    <w:rsid w:val="000E7B27"/>
    <w:rsid w:val="000E7BCB"/>
    <w:rsid w:val="000F0B06"/>
    <w:rsid w:val="000F23D6"/>
    <w:rsid w:val="000F2B1C"/>
    <w:rsid w:val="000F37C8"/>
    <w:rsid w:val="000F6F5D"/>
    <w:rsid w:val="00100DB9"/>
    <w:rsid w:val="00102756"/>
    <w:rsid w:val="0010366B"/>
    <w:rsid w:val="0010507E"/>
    <w:rsid w:val="001059A6"/>
    <w:rsid w:val="00105A87"/>
    <w:rsid w:val="00105D95"/>
    <w:rsid w:val="00106B4D"/>
    <w:rsid w:val="00106BE5"/>
    <w:rsid w:val="00107A6B"/>
    <w:rsid w:val="00107A7C"/>
    <w:rsid w:val="00110C49"/>
    <w:rsid w:val="00110FEB"/>
    <w:rsid w:val="00115051"/>
    <w:rsid w:val="001153EC"/>
    <w:rsid w:val="0011551D"/>
    <w:rsid w:val="001170C5"/>
    <w:rsid w:val="00117115"/>
    <w:rsid w:val="00117342"/>
    <w:rsid w:val="0011783D"/>
    <w:rsid w:val="00121772"/>
    <w:rsid w:val="00124C9D"/>
    <w:rsid w:val="00127982"/>
    <w:rsid w:val="00127B1E"/>
    <w:rsid w:val="00130A1A"/>
    <w:rsid w:val="0013312D"/>
    <w:rsid w:val="00133DC0"/>
    <w:rsid w:val="0013548A"/>
    <w:rsid w:val="00135CF8"/>
    <w:rsid w:val="00137AB5"/>
    <w:rsid w:val="001406F5"/>
    <w:rsid w:val="00140706"/>
    <w:rsid w:val="00141E1A"/>
    <w:rsid w:val="00143E7F"/>
    <w:rsid w:val="00143F8E"/>
    <w:rsid w:val="001455D8"/>
    <w:rsid w:val="0014792F"/>
    <w:rsid w:val="00150E9F"/>
    <w:rsid w:val="0015528E"/>
    <w:rsid w:val="00161445"/>
    <w:rsid w:val="00161611"/>
    <w:rsid w:val="0016173F"/>
    <w:rsid w:val="00162561"/>
    <w:rsid w:val="00165810"/>
    <w:rsid w:val="001673B5"/>
    <w:rsid w:val="001673FC"/>
    <w:rsid w:val="001709CB"/>
    <w:rsid w:val="00170FA1"/>
    <w:rsid w:val="00175219"/>
    <w:rsid w:val="00175D93"/>
    <w:rsid w:val="001764AB"/>
    <w:rsid w:val="001770F0"/>
    <w:rsid w:val="001800CD"/>
    <w:rsid w:val="00181502"/>
    <w:rsid w:val="00181CCA"/>
    <w:rsid w:val="0018519C"/>
    <w:rsid w:val="00186BBC"/>
    <w:rsid w:val="00187362"/>
    <w:rsid w:val="001908FD"/>
    <w:rsid w:val="001910C2"/>
    <w:rsid w:val="001917B6"/>
    <w:rsid w:val="00195F97"/>
    <w:rsid w:val="0019720D"/>
    <w:rsid w:val="001A0885"/>
    <w:rsid w:val="001A1629"/>
    <w:rsid w:val="001B2F40"/>
    <w:rsid w:val="001B6398"/>
    <w:rsid w:val="001C20B3"/>
    <w:rsid w:val="001C3A0A"/>
    <w:rsid w:val="001C487D"/>
    <w:rsid w:val="001C4D46"/>
    <w:rsid w:val="001C5AF2"/>
    <w:rsid w:val="001D0A6E"/>
    <w:rsid w:val="001D0B2F"/>
    <w:rsid w:val="001D1834"/>
    <w:rsid w:val="001D2B17"/>
    <w:rsid w:val="001D3A3F"/>
    <w:rsid w:val="001D526F"/>
    <w:rsid w:val="001D65E7"/>
    <w:rsid w:val="001D663D"/>
    <w:rsid w:val="001E07FD"/>
    <w:rsid w:val="001E0960"/>
    <w:rsid w:val="001E7BEE"/>
    <w:rsid w:val="001E7F76"/>
    <w:rsid w:val="001F0482"/>
    <w:rsid w:val="001F1537"/>
    <w:rsid w:val="001F166C"/>
    <w:rsid w:val="001F1F26"/>
    <w:rsid w:val="001F379C"/>
    <w:rsid w:val="001F60CF"/>
    <w:rsid w:val="001F62CF"/>
    <w:rsid w:val="00201BF4"/>
    <w:rsid w:val="00203C04"/>
    <w:rsid w:val="00205616"/>
    <w:rsid w:val="002111FC"/>
    <w:rsid w:val="00212697"/>
    <w:rsid w:val="00214084"/>
    <w:rsid w:val="00214A8B"/>
    <w:rsid w:val="00217E32"/>
    <w:rsid w:val="00220A86"/>
    <w:rsid w:val="00220E84"/>
    <w:rsid w:val="002225D3"/>
    <w:rsid w:val="00225170"/>
    <w:rsid w:val="0022533F"/>
    <w:rsid w:val="002257A9"/>
    <w:rsid w:val="00230DE5"/>
    <w:rsid w:val="002317CE"/>
    <w:rsid w:val="00232BBE"/>
    <w:rsid w:val="0023463D"/>
    <w:rsid w:val="00234DFD"/>
    <w:rsid w:val="00235E12"/>
    <w:rsid w:val="002407A0"/>
    <w:rsid w:val="00243D25"/>
    <w:rsid w:val="00244E0B"/>
    <w:rsid w:val="00245BD0"/>
    <w:rsid w:val="00250B99"/>
    <w:rsid w:val="00252660"/>
    <w:rsid w:val="00252F81"/>
    <w:rsid w:val="002531D4"/>
    <w:rsid w:val="00253567"/>
    <w:rsid w:val="002536D0"/>
    <w:rsid w:val="002572F0"/>
    <w:rsid w:val="002577FF"/>
    <w:rsid w:val="002628DA"/>
    <w:rsid w:val="00263E3D"/>
    <w:rsid w:val="00265B02"/>
    <w:rsid w:val="00265E7B"/>
    <w:rsid w:val="00266B89"/>
    <w:rsid w:val="00272C68"/>
    <w:rsid w:val="00274A6B"/>
    <w:rsid w:val="002750B5"/>
    <w:rsid w:val="00275CAC"/>
    <w:rsid w:val="002800D2"/>
    <w:rsid w:val="00280557"/>
    <w:rsid w:val="00281355"/>
    <w:rsid w:val="00282A01"/>
    <w:rsid w:val="00287C4E"/>
    <w:rsid w:val="002901C9"/>
    <w:rsid w:val="00291052"/>
    <w:rsid w:val="00291B55"/>
    <w:rsid w:val="0029204B"/>
    <w:rsid w:val="00295489"/>
    <w:rsid w:val="0029566B"/>
    <w:rsid w:val="00296655"/>
    <w:rsid w:val="00296ADF"/>
    <w:rsid w:val="00296B59"/>
    <w:rsid w:val="00297E77"/>
    <w:rsid w:val="002A0E59"/>
    <w:rsid w:val="002A1940"/>
    <w:rsid w:val="002A368E"/>
    <w:rsid w:val="002A6C97"/>
    <w:rsid w:val="002B06FB"/>
    <w:rsid w:val="002B0AE0"/>
    <w:rsid w:val="002B3773"/>
    <w:rsid w:val="002B3890"/>
    <w:rsid w:val="002B3FA8"/>
    <w:rsid w:val="002B44EB"/>
    <w:rsid w:val="002B5937"/>
    <w:rsid w:val="002B5D48"/>
    <w:rsid w:val="002B631F"/>
    <w:rsid w:val="002C0D76"/>
    <w:rsid w:val="002C42D3"/>
    <w:rsid w:val="002C6117"/>
    <w:rsid w:val="002D0D1B"/>
    <w:rsid w:val="002D1D30"/>
    <w:rsid w:val="002D4281"/>
    <w:rsid w:val="002D460E"/>
    <w:rsid w:val="002D5102"/>
    <w:rsid w:val="002D61F8"/>
    <w:rsid w:val="002D75DE"/>
    <w:rsid w:val="002D75FF"/>
    <w:rsid w:val="002E032A"/>
    <w:rsid w:val="002E138A"/>
    <w:rsid w:val="002E37AA"/>
    <w:rsid w:val="002E45C6"/>
    <w:rsid w:val="002F36AC"/>
    <w:rsid w:val="002F5D0F"/>
    <w:rsid w:val="002F62CB"/>
    <w:rsid w:val="0030011D"/>
    <w:rsid w:val="003014DC"/>
    <w:rsid w:val="00304305"/>
    <w:rsid w:val="00305924"/>
    <w:rsid w:val="00306706"/>
    <w:rsid w:val="003119D2"/>
    <w:rsid w:val="00315406"/>
    <w:rsid w:val="0031550F"/>
    <w:rsid w:val="00317ED8"/>
    <w:rsid w:val="00330829"/>
    <w:rsid w:val="0033107B"/>
    <w:rsid w:val="003312A2"/>
    <w:rsid w:val="00334607"/>
    <w:rsid w:val="00336899"/>
    <w:rsid w:val="00340546"/>
    <w:rsid w:val="003405A9"/>
    <w:rsid w:val="0034152B"/>
    <w:rsid w:val="00341BCB"/>
    <w:rsid w:val="00341E37"/>
    <w:rsid w:val="00341EEF"/>
    <w:rsid w:val="00343039"/>
    <w:rsid w:val="00344940"/>
    <w:rsid w:val="00344FE4"/>
    <w:rsid w:val="00346B79"/>
    <w:rsid w:val="00347515"/>
    <w:rsid w:val="00347CAB"/>
    <w:rsid w:val="00347EF3"/>
    <w:rsid w:val="0035009B"/>
    <w:rsid w:val="0035126D"/>
    <w:rsid w:val="00351BD0"/>
    <w:rsid w:val="003529F5"/>
    <w:rsid w:val="00353175"/>
    <w:rsid w:val="00353D73"/>
    <w:rsid w:val="00354A68"/>
    <w:rsid w:val="00355D20"/>
    <w:rsid w:val="003562DB"/>
    <w:rsid w:val="00363A1A"/>
    <w:rsid w:val="00364CEA"/>
    <w:rsid w:val="003656BC"/>
    <w:rsid w:val="00365B36"/>
    <w:rsid w:val="00365CA9"/>
    <w:rsid w:val="003663C9"/>
    <w:rsid w:val="00367549"/>
    <w:rsid w:val="00371F1B"/>
    <w:rsid w:val="0037366C"/>
    <w:rsid w:val="00373951"/>
    <w:rsid w:val="00373E63"/>
    <w:rsid w:val="00374268"/>
    <w:rsid w:val="003743DD"/>
    <w:rsid w:val="00374A64"/>
    <w:rsid w:val="00375C3D"/>
    <w:rsid w:val="00376234"/>
    <w:rsid w:val="00380DEB"/>
    <w:rsid w:val="00383964"/>
    <w:rsid w:val="00383B1D"/>
    <w:rsid w:val="00383F11"/>
    <w:rsid w:val="003844E5"/>
    <w:rsid w:val="00385490"/>
    <w:rsid w:val="00386ACD"/>
    <w:rsid w:val="0038783C"/>
    <w:rsid w:val="00390A78"/>
    <w:rsid w:val="00391645"/>
    <w:rsid w:val="00391F90"/>
    <w:rsid w:val="003926AD"/>
    <w:rsid w:val="003936E4"/>
    <w:rsid w:val="00394200"/>
    <w:rsid w:val="003944B6"/>
    <w:rsid w:val="00394B17"/>
    <w:rsid w:val="00395593"/>
    <w:rsid w:val="00396660"/>
    <w:rsid w:val="003A06BE"/>
    <w:rsid w:val="003A130C"/>
    <w:rsid w:val="003A1CC3"/>
    <w:rsid w:val="003A2EB1"/>
    <w:rsid w:val="003A4B98"/>
    <w:rsid w:val="003A4C58"/>
    <w:rsid w:val="003A5848"/>
    <w:rsid w:val="003A6C2F"/>
    <w:rsid w:val="003A7D45"/>
    <w:rsid w:val="003A7F44"/>
    <w:rsid w:val="003B1BDA"/>
    <w:rsid w:val="003B2E0E"/>
    <w:rsid w:val="003B3D3D"/>
    <w:rsid w:val="003B5F73"/>
    <w:rsid w:val="003B64A5"/>
    <w:rsid w:val="003B7CD1"/>
    <w:rsid w:val="003C3E4B"/>
    <w:rsid w:val="003C616D"/>
    <w:rsid w:val="003D2EFD"/>
    <w:rsid w:val="003D39EE"/>
    <w:rsid w:val="003D431F"/>
    <w:rsid w:val="003D65E1"/>
    <w:rsid w:val="003D7EE3"/>
    <w:rsid w:val="003E0B22"/>
    <w:rsid w:val="003E193D"/>
    <w:rsid w:val="003E1D01"/>
    <w:rsid w:val="003E2BA4"/>
    <w:rsid w:val="003E31F6"/>
    <w:rsid w:val="003E3A2D"/>
    <w:rsid w:val="003E4990"/>
    <w:rsid w:val="003E5C63"/>
    <w:rsid w:val="003F058C"/>
    <w:rsid w:val="003F090C"/>
    <w:rsid w:val="003F18D2"/>
    <w:rsid w:val="003F1B14"/>
    <w:rsid w:val="003F1D22"/>
    <w:rsid w:val="003F26A8"/>
    <w:rsid w:val="003F33CD"/>
    <w:rsid w:val="003F5FD3"/>
    <w:rsid w:val="003F6AB1"/>
    <w:rsid w:val="00400465"/>
    <w:rsid w:val="00400DE5"/>
    <w:rsid w:val="004016AB"/>
    <w:rsid w:val="00402400"/>
    <w:rsid w:val="004029BB"/>
    <w:rsid w:val="00402B00"/>
    <w:rsid w:val="00404473"/>
    <w:rsid w:val="00404841"/>
    <w:rsid w:val="004049B7"/>
    <w:rsid w:val="00407C0D"/>
    <w:rsid w:val="00407E3C"/>
    <w:rsid w:val="00411FE9"/>
    <w:rsid w:val="00413A61"/>
    <w:rsid w:val="004155C8"/>
    <w:rsid w:val="00415D75"/>
    <w:rsid w:val="00416D9C"/>
    <w:rsid w:val="0042350D"/>
    <w:rsid w:val="00423D6C"/>
    <w:rsid w:val="004248C0"/>
    <w:rsid w:val="0042577D"/>
    <w:rsid w:val="00427E7B"/>
    <w:rsid w:val="00430947"/>
    <w:rsid w:val="004316F7"/>
    <w:rsid w:val="00431FB3"/>
    <w:rsid w:val="00433EC8"/>
    <w:rsid w:val="00435423"/>
    <w:rsid w:val="00437CB6"/>
    <w:rsid w:val="00440058"/>
    <w:rsid w:val="00440FB2"/>
    <w:rsid w:val="00441504"/>
    <w:rsid w:val="0044242E"/>
    <w:rsid w:val="0044421E"/>
    <w:rsid w:val="004448D1"/>
    <w:rsid w:val="00446186"/>
    <w:rsid w:val="0044754D"/>
    <w:rsid w:val="00447A71"/>
    <w:rsid w:val="00452B84"/>
    <w:rsid w:val="00454751"/>
    <w:rsid w:val="00457C59"/>
    <w:rsid w:val="004610CF"/>
    <w:rsid w:val="00461535"/>
    <w:rsid w:val="00463654"/>
    <w:rsid w:val="0046366D"/>
    <w:rsid w:val="00465F9C"/>
    <w:rsid w:val="00467B42"/>
    <w:rsid w:val="00470031"/>
    <w:rsid w:val="00471237"/>
    <w:rsid w:val="00471568"/>
    <w:rsid w:val="00471713"/>
    <w:rsid w:val="00471D85"/>
    <w:rsid w:val="004730B8"/>
    <w:rsid w:val="00474F4F"/>
    <w:rsid w:val="0047533F"/>
    <w:rsid w:val="0047635E"/>
    <w:rsid w:val="004774EA"/>
    <w:rsid w:val="004774F9"/>
    <w:rsid w:val="00477DBE"/>
    <w:rsid w:val="00480403"/>
    <w:rsid w:val="00481B30"/>
    <w:rsid w:val="00481E14"/>
    <w:rsid w:val="00482943"/>
    <w:rsid w:val="00484DF1"/>
    <w:rsid w:val="00485096"/>
    <w:rsid w:val="00485174"/>
    <w:rsid w:val="004856A5"/>
    <w:rsid w:val="0048594C"/>
    <w:rsid w:val="0048599C"/>
    <w:rsid w:val="00487357"/>
    <w:rsid w:val="00487D9F"/>
    <w:rsid w:val="00487DB9"/>
    <w:rsid w:val="00487FA1"/>
    <w:rsid w:val="004901C2"/>
    <w:rsid w:val="0049345B"/>
    <w:rsid w:val="0049356B"/>
    <w:rsid w:val="004945BD"/>
    <w:rsid w:val="00495854"/>
    <w:rsid w:val="00495889"/>
    <w:rsid w:val="00496165"/>
    <w:rsid w:val="00496480"/>
    <w:rsid w:val="004964EE"/>
    <w:rsid w:val="004966FB"/>
    <w:rsid w:val="004976E4"/>
    <w:rsid w:val="00497805"/>
    <w:rsid w:val="004A318E"/>
    <w:rsid w:val="004A3312"/>
    <w:rsid w:val="004A45DA"/>
    <w:rsid w:val="004B275E"/>
    <w:rsid w:val="004B3384"/>
    <w:rsid w:val="004B39ED"/>
    <w:rsid w:val="004B4B54"/>
    <w:rsid w:val="004C0235"/>
    <w:rsid w:val="004C1588"/>
    <w:rsid w:val="004C1673"/>
    <w:rsid w:val="004C22C6"/>
    <w:rsid w:val="004C4982"/>
    <w:rsid w:val="004C5AD3"/>
    <w:rsid w:val="004C6B99"/>
    <w:rsid w:val="004D1933"/>
    <w:rsid w:val="004D1C81"/>
    <w:rsid w:val="004D22FB"/>
    <w:rsid w:val="004D2B31"/>
    <w:rsid w:val="004D2FC9"/>
    <w:rsid w:val="004D33D1"/>
    <w:rsid w:val="004D372F"/>
    <w:rsid w:val="004D51EA"/>
    <w:rsid w:val="004D5670"/>
    <w:rsid w:val="004D5D1D"/>
    <w:rsid w:val="004D6D6F"/>
    <w:rsid w:val="004D78A9"/>
    <w:rsid w:val="004E26C0"/>
    <w:rsid w:val="004E538D"/>
    <w:rsid w:val="004F09ED"/>
    <w:rsid w:val="004F0F3E"/>
    <w:rsid w:val="004F1872"/>
    <w:rsid w:val="004F25F6"/>
    <w:rsid w:val="004F2BE3"/>
    <w:rsid w:val="004F38FC"/>
    <w:rsid w:val="004F3C08"/>
    <w:rsid w:val="004F54A2"/>
    <w:rsid w:val="004F62F9"/>
    <w:rsid w:val="004F6889"/>
    <w:rsid w:val="0050010C"/>
    <w:rsid w:val="00501B23"/>
    <w:rsid w:val="00501BD9"/>
    <w:rsid w:val="00502AC4"/>
    <w:rsid w:val="00502FA8"/>
    <w:rsid w:val="0050550D"/>
    <w:rsid w:val="0050616E"/>
    <w:rsid w:val="00507640"/>
    <w:rsid w:val="0050798F"/>
    <w:rsid w:val="00510461"/>
    <w:rsid w:val="00511349"/>
    <w:rsid w:val="005139FA"/>
    <w:rsid w:val="00513F8E"/>
    <w:rsid w:val="0051582D"/>
    <w:rsid w:val="0051702C"/>
    <w:rsid w:val="005204B1"/>
    <w:rsid w:val="00520E00"/>
    <w:rsid w:val="00522CD4"/>
    <w:rsid w:val="005237FD"/>
    <w:rsid w:val="005243C4"/>
    <w:rsid w:val="0052552A"/>
    <w:rsid w:val="00525FE4"/>
    <w:rsid w:val="00530590"/>
    <w:rsid w:val="0053228F"/>
    <w:rsid w:val="00532E36"/>
    <w:rsid w:val="00532FEB"/>
    <w:rsid w:val="005331FB"/>
    <w:rsid w:val="00534995"/>
    <w:rsid w:val="00537053"/>
    <w:rsid w:val="0054083E"/>
    <w:rsid w:val="00543646"/>
    <w:rsid w:val="00543748"/>
    <w:rsid w:val="005454CE"/>
    <w:rsid w:val="0054632F"/>
    <w:rsid w:val="0054650F"/>
    <w:rsid w:val="005472C7"/>
    <w:rsid w:val="00550662"/>
    <w:rsid w:val="00551677"/>
    <w:rsid w:val="00554C7B"/>
    <w:rsid w:val="00554CDE"/>
    <w:rsid w:val="00555663"/>
    <w:rsid w:val="0055724C"/>
    <w:rsid w:val="00560321"/>
    <w:rsid w:val="005604EC"/>
    <w:rsid w:val="0056113D"/>
    <w:rsid w:val="00562453"/>
    <w:rsid w:val="005633C7"/>
    <w:rsid w:val="0056385B"/>
    <w:rsid w:val="00564898"/>
    <w:rsid w:val="00566995"/>
    <w:rsid w:val="00567C40"/>
    <w:rsid w:val="005727D4"/>
    <w:rsid w:val="00575C6D"/>
    <w:rsid w:val="00577D88"/>
    <w:rsid w:val="0058599B"/>
    <w:rsid w:val="00585C7B"/>
    <w:rsid w:val="005861F1"/>
    <w:rsid w:val="0058622D"/>
    <w:rsid w:val="00586C8F"/>
    <w:rsid w:val="00587AA5"/>
    <w:rsid w:val="00590676"/>
    <w:rsid w:val="005919EB"/>
    <w:rsid w:val="0059231A"/>
    <w:rsid w:val="00593328"/>
    <w:rsid w:val="00594ACA"/>
    <w:rsid w:val="00594B4F"/>
    <w:rsid w:val="005955CD"/>
    <w:rsid w:val="00596071"/>
    <w:rsid w:val="00596BFA"/>
    <w:rsid w:val="005A1D18"/>
    <w:rsid w:val="005A265B"/>
    <w:rsid w:val="005A6C05"/>
    <w:rsid w:val="005A7F55"/>
    <w:rsid w:val="005B0540"/>
    <w:rsid w:val="005B0D84"/>
    <w:rsid w:val="005B3500"/>
    <w:rsid w:val="005B35A9"/>
    <w:rsid w:val="005B3B73"/>
    <w:rsid w:val="005B4654"/>
    <w:rsid w:val="005B5D38"/>
    <w:rsid w:val="005B6E4D"/>
    <w:rsid w:val="005C00FC"/>
    <w:rsid w:val="005C161F"/>
    <w:rsid w:val="005C2526"/>
    <w:rsid w:val="005C2CEA"/>
    <w:rsid w:val="005C3464"/>
    <w:rsid w:val="005C441B"/>
    <w:rsid w:val="005C5C18"/>
    <w:rsid w:val="005C60C3"/>
    <w:rsid w:val="005C6830"/>
    <w:rsid w:val="005C7EB4"/>
    <w:rsid w:val="005D0DF9"/>
    <w:rsid w:val="005D1010"/>
    <w:rsid w:val="005D17C6"/>
    <w:rsid w:val="005D195A"/>
    <w:rsid w:val="005D1D02"/>
    <w:rsid w:val="005D1FEF"/>
    <w:rsid w:val="005D3BD4"/>
    <w:rsid w:val="005D40BC"/>
    <w:rsid w:val="005D46FD"/>
    <w:rsid w:val="005D50A8"/>
    <w:rsid w:val="005D6BEE"/>
    <w:rsid w:val="005D6EE4"/>
    <w:rsid w:val="005D741E"/>
    <w:rsid w:val="005E25C4"/>
    <w:rsid w:val="005E2A7C"/>
    <w:rsid w:val="005E3DEA"/>
    <w:rsid w:val="005F333F"/>
    <w:rsid w:val="005F3BD9"/>
    <w:rsid w:val="005F3C8A"/>
    <w:rsid w:val="005F4578"/>
    <w:rsid w:val="005F4B6E"/>
    <w:rsid w:val="005F52F4"/>
    <w:rsid w:val="005F5B2E"/>
    <w:rsid w:val="005F7F5A"/>
    <w:rsid w:val="006000A1"/>
    <w:rsid w:val="006040E6"/>
    <w:rsid w:val="00604372"/>
    <w:rsid w:val="00605B8A"/>
    <w:rsid w:val="006119CB"/>
    <w:rsid w:val="006134EC"/>
    <w:rsid w:val="0061384F"/>
    <w:rsid w:val="006151CF"/>
    <w:rsid w:val="0061586C"/>
    <w:rsid w:val="00617A5B"/>
    <w:rsid w:val="00617F94"/>
    <w:rsid w:val="006217FD"/>
    <w:rsid w:val="00622720"/>
    <w:rsid w:val="00622948"/>
    <w:rsid w:val="00623103"/>
    <w:rsid w:val="00626525"/>
    <w:rsid w:val="00631879"/>
    <w:rsid w:val="0063281E"/>
    <w:rsid w:val="00632C88"/>
    <w:rsid w:val="00633AA6"/>
    <w:rsid w:val="00634D6B"/>
    <w:rsid w:val="006362A0"/>
    <w:rsid w:val="00637ECF"/>
    <w:rsid w:val="00641386"/>
    <w:rsid w:val="0064491A"/>
    <w:rsid w:val="006501DA"/>
    <w:rsid w:val="006556AC"/>
    <w:rsid w:val="00655CD6"/>
    <w:rsid w:val="0065742B"/>
    <w:rsid w:val="0066357F"/>
    <w:rsid w:val="006658A7"/>
    <w:rsid w:val="006667FE"/>
    <w:rsid w:val="00666BE2"/>
    <w:rsid w:val="006674A7"/>
    <w:rsid w:val="0066780A"/>
    <w:rsid w:val="0067227C"/>
    <w:rsid w:val="006730C0"/>
    <w:rsid w:val="00673EDA"/>
    <w:rsid w:val="00674223"/>
    <w:rsid w:val="0067505F"/>
    <w:rsid w:val="00677435"/>
    <w:rsid w:val="006839FC"/>
    <w:rsid w:val="00686F72"/>
    <w:rsid w:val="006909AE"/>
    <w:rsid w:val="006909E4"/>
    <w:rsid w:val="00691861"/>
    <w:rsid w:val="00693AF7"/>
    <w:rsid w:val="00693BD3"/>
    <w:rsid w:val="006954CB"/>
    <w:rsid w:val="006966BC"/>
    <w:rsid w:val="006969C3"/>
    <w:rsid w:val="006A2EF0"/>
    <w:rsid w:val="006B1D3D"/>
    <w:rsid w:val="006B20DE"/>
    <w:rsid w:val="006B2E64"/>
    <w:rsid w:val="006B4DBA"/>
    <w:rsid w:val="006B6ED4"/>
    <w:rsid w:val="006B7AE0"/>
    <w:rsid w:val="006C086E"/>
    <w:rsid w:val="006C09F7"/>
    <w:rsid w:val="006C1815"/>
    <w:rsid w:val="006C403C"/>
    <w:rsid w:val="006C4B8D"/>
    <w:rsid w:val="006C4DBB"/>
    <w:rsid w:val="006C6647"/>
    <w:rsid w:val="006C680F"/>
    <w:rsid w:val="006C7E4C"/>
    <w:rsid w:val="006D0C34"/>
    <w:rsid w:val="006D1872"/>
    <w:rsid w:val="006D1AFD"/>
    <w:rsid w:val="006D48B0"/>
    <w:rsid w:val="006D4C24"/>
    <w:rsid w:val="006D7195"/>
    <w:rsid w:val="006D7C8B"/>
    <w:rsid w:val="006E2C8C"/>
    <w:rsid w:val="006E4FDE"/>
    <w:rsid w:val="006E78F4"/>
    <w:rsid w:val="006E7DEF"/>
    <w:rsid w:val="006F177B"/>
    <w:rsid w:val="006F4860"/>
    <w:rsid w:val="006F4BBF"/>
    <w:rsid w:val="006F5351"/>
    <w:rsid w:val="00701097"/>
    <w:rsid w:val="00701E95"/>
    <w:rsid w:val="00703342"/>
    <w:rsid w:val="00704190"/>
    <w:rsid w:val="00704A07"/>
    <w:rsid w:val="00705590"/>
    <w:rsid w:val="00706494"/>
    <w:rsid w:val="0070699D"/>
    <w:rsid w:val="0071002E"/>
    <w:rsid w:val="007123CD"/>
    <w:rsid w:val="0071240A"/>
    <w:rsid w:val="0071423C"/>
    <w:rsid w:val="007149B8"/>
    <w:rsid w:val="00717AD3"/>
    <w:rsid w:val="007209FA"/>
    <w:rsid w:val="00722488"/>
    <w:rsid w:val="0072522B"/>
    <w:rsid w:val="00725D56"/>
    <w:rsid w:val="00727AA2"/>
    <w:rsid w:val="00731841"/>
    <w:rsid w:val="00732BAD"/>
    <w:rsid w:val="00733E66"/>
    <w:rsid w:val="007340C3"/>
    <w:rsid w:val="007345C0"/>
    <w:rsid w:val="00735186"/>
    <w:rsid w:val="00736079"/>
    <w:rsid w:val="00736DB1"/>
    <w:rsid w:val="0073783D"/>
    <w:rsid w:val="007439FD"/>
    <w:rsid w:val="00744351"/>
    <w:rsid w:val="007444E2"/>
    <w:rsid w:val="007444EC"/>
    <w:rsid w:val="007449E7"/>
    <w:rsid w:val="00744F0D"/>
    <w:rsid w:val="00747002"/>
    <w:rsid w:val="007532FA"/>
    <w:rsid w:val="007538F0"/>
    <w:rsid w:val="00753CE9"/>
    <w:rsid w:val="007550DB"/>
    <w:rsid w:val="00756DFB"/>
    <w:rsid w:val="00757564"/>
    <w:rsid w:val="0076193E"/>
    <w:rsid w:val="00761FD7"/>
    <w:rsid w:val="00763700"/>
    <w:rsid w:val="00763CDB"/>
    <w:rsid w:val="00765C58"/>
    <w:rsid w:val="007661DC"/>
    <w:rsid w:val="00770703"/>
    <w:rsid w:val="00771744"/>
    <w:rsid w:val="00772268"/>
    <w:rsid w:val="007731CD"/>
    <w:rsid w:val="007736C3"/>
    <w:rsid w:val="00774B58"/>
    <w:rsid w:val="00774D84"/>
    <w:rsid w:val="007759EA"/>
    <w:rsid w:val="00776801"/>
    <w:rsid w:val="00781D29"/>
    <w:rsid w:val="00781F66"/>
    <w:rsid w:val="0078243B"/>
    <w:rsid w:val="007832B3"/>
    <w:rsid w:val="00784074"/>
    <w:rsid w:val="00784670"/>
    <w:rsid w:val="007860F8"/>
    <w:rsid w:val="00787735"/>
    <w:rsid w:val="00787EC1"/>
    <w:rsid w:val="00787F5E"/>
    <w:rsid w:val="007915C0"/>
    <w:rsid w:val="00792BEF"/>
    <w:rsid w:val="00794301"/>
    <w:rsid w:val="007960DF"/>
    <w:rsid w:val="00796692"/>
    <w:rsid w:val="007A3179"/>
    <w:rsid w:val="007A3C64"/>
    <w:rsid w:val="007A7055"/>
    <w:rsid w:val="007B34D6"/>
    <w:rsid w:val="007B6137"/>
    <w:rsid w:val="007B667D"/>
    <w:rsid w:val="007B7666"/>
    <w:rsid w:val="007B7CC6"/>
    <w:rsid w:val="007C0C7D"/>
    <w:rsid w:val="007C26AB"/>
    <w:rsid w:val="007C3A38"/>
    <w:rsid w:val="007C58E1"/>
    <w:rsid w:val="007C5ADD"/>
    <w:rsid w:val="007C6528"/>
    <w:rsid w:val="007C6DF6"/>
    <w:rsid w:val="007D02D4"/>
    <w:rsid w:val="007D22BF"/>
    <w:rsid w:val="007D2F78"/>
    <w:rsid w:val="007D4FDE"/>
    <w:rsid w:val="007D5FE5"/>
    <w:rsid w:val="007D6B1B"/>
    <w:rsid w:val="007E2B35"/>
    <w:rsid w:val="007E56AE"/>
    <w:rsid w:val="007E5FB3"/>
    <w:rsid w:val="007E670E"/>
    <w:rsid w:val="007F1CC9"/>
    <w:rsid w:val="007F24FB"/>
    <w:rsid w:val="007F3981"/>
    <w:rsid w:val="00803E1C"/>
    <w:rsid w:val="00804622"/>
    <w:rsid w:val="00805108"/>
    <w:rsid w:val="00805EA2"/>
    <w:rsid w:val="00806D14"/>
    <w:rsid w:val="008101ED"/>
    <w:rsid w:val="008118B7"/>
    <w:rsid w:val="00811F1B"/>
    <w:rsid w:val="00812202"/>
    <w:rsid w:val="008135D9"/>
    <w:rsid w:val="008139D4"/>
    <w:rsid w:val="00813F73"/>
    <w:rsid w:val="00816849"/>
    <w:rsid w:val="00816CD8"/>
    <w:rsid w:val="0082247E"/>
    <w:rsid w:val="00824448"/>
    <w:rsid w:val="00825445"/>
    <w:rsid w:val="00825CC5"/>
    <w:rsid w:val="008261A9"/>
    <w:rsid w:val="00826216"/>
    <w:rsid w:val="008278D8"/>
    <w:rsid w:val="00830962"/>
    <w:rsid w:val="0083280E"/>
    <w:rsid w:val="00833551"/>
    <w:rsid w:val="008336EA"/>
    <w:rsid w:val="00835CBB"/>
    <w:rsid w:val="00835D43"/>
    <w:rsid w:val="008374CD"/>
    <w:rsid w:val="008416E2"/>
    <w:rsid w:val="00841816"/>
    <w:rsid w:val="008418A8"/>
    <w:rsid w:val="00841F72"/>
    <w:rsid w:val="00847855"/>
    <w:rsid w:val="00847870"/>
    <w:rsid w:val="008507C3"/>
    <w:rsid w:val="00852D36"/>
    <w:rsid w:val="008542A0"/>
    <w:rsid w:val="008544BC"/>
    <w:rsid w:val="008544ED"/>
    <w:rsid w:val="008577F4"/>
    <w:rsid w:val="008621D2"/>
    <w:rsid w:val="00863095"/>
    <w:rsid w:val="008639E8"/>
    <w:rsid w:val="008640CB"/>
    <w:rsid w:val="00865904"/>
    <w:rsid w:val="00867CC9"/>
    <w:rsid w:val="00870DED"/>
    <w:rsid w:val="0087311A"/>
    <w:rsid w:val="0087606A"/>
    <w:rsid w:val="00877816"/>
    <w:rsid w:val="00880D8D"/>
    <w:rsid w:val="00880DE7"/>
    <w:rsid w:val="00881457"/>
    <w:rsid w:val="00886E25"/>
    <w:rsid w:val="00887956"/>
    <w:rsid w:val="00890FA1"/>
    <w:rsid w:val="008916EA"/>
    <w:rsid w:val="00895B4C"/>
    <w:rsid w:val="00897D11"/>
    <w:rsid w:val="008A3347"/>
    <w:rsid w:val="008A5C0C"/>
    <w:rsid w:val="008A5FC7"/>
    <w:rsid w:val="008B068D"/>
    <w:rsid w:val="008B18F0"/>
    <w:rsid w:val="008B4AB1"/>
    <w:rsid w:val="008B6EC2"/>
    <w:rsid w:val="008B7525"/>
    <w:rsid w:val="008C2631"/>
    <w:rsid w:val="008C2A34"/>
    <w:rsid w:val="008C4268"/>
    <w:rsid w:val="008C44ED"/>
    <w:rsid w:val="008D0E22"/>
    <w:rsid w:val="008D5F63"/>
    <w:rsid w:val="008D64B9"/>
    <w:rsid w:val="008E1911"/>
    <w:rsid w:val="008E1ECC"/>
    <w:rsid w:val="008E22A5"/>
    <w:rsid w:val="008E2858"/>
    <w:rsid w:val="008E32CA"/>
    <w:rsid w:val="008E4D3C"/>
    <w:rsid w:val="008E7FE5"/>
    <w:rsid w:val="008F0A52"/>
    <w:rsid w:val="008F1409"/>
    <w:rsid w:val="008F19FA"/>
    <w:rsid w:val="008F27B7"/>
    <w:rsid w:val="008F3146"/>
    <w:rsid w:val="008F329B"/>
    <w:rsid w:val="008F35C6"/>
    <w:rsid w:val="008F42D6"/>
    <w:rsid w:val="008F4F89"/>
    <w:rsid w:val="008F5E24"/>
    <w:rsid w:val="00900064"/>
    <w:rsid w:val="00901025"/>
    <w:rsid w:val="009016A1"/>
    <w:rsid w:val="0090185E"/>
    <w:rsid w:val="00901ACE"/>
    <w:rsid w:val="00907348"/>
    <w:rsid w:val="00912B20"/>
    <w:rsid w:val="00912C97"/>
    <w:rsid w:val="009138CB"/>
    <w:rsid w:val="00914772"/>
    <w:rsid w:val="00921E98"/>
    <w:rsid w:val="00922D25"/>
    <w:rsid w:val="00923AFA"/>
    <w:rsid w:val="00923B83"/>
    <w:rsid w:val="0092535E"/>
    <w:rsid w:val="00925373"/>
    <w:rsid w:val="009278C8"/>
    <w:rsid w:val="00932310"/>
    <w:rsid w:val="00932E92"/>
    <w:rsid w:val="00933E33"/>
    <w:rsid w:val="00933F86"/>
    <w:rsid w:val="00936DB4"/>
    <w:rsid w:val="009400F0"/>
    <w:rsid w:val="00941D0A"/>
    <w:rsid w:val="0094225F"/>
    <w:rsid w:val="009436C9"/>
    <w:rsid w:val="009457C6"/>
    <w:rsid w:val="00947E74"/>
    <w:rsid w:val="009525B3"/>
    <w:rsid w:val="00956337"/>
    <w:rsid w:val="009614F4"/>
    <w:rsid w:val="009627CD"/>
    <w:rsid w:val="00963048"/>
    <w:rsid w:val="00965315"/>
    <w:rsid w:val="00966C16"/>
    <w:rsid w:val="00967DEC"/>
    <w:rsid w:val="0097063C"/>
    <w:rsid w:val="0097070F"/>
    <w:rsid w:val="00972197"/>
    <w:rsid w:val="00973B3C"/>
    <w:rsid w:val="00977E7C"/>
    <w:rsid w:val="00980F95"/>
    <w:rsid w:val="00981E06"/>
    <w:rsid w:val="00986CB8"/>
    <w:rsid w:val="00987E90"/>
    <w:rsid w:val="00990F48"/>
    <w:rsid w:val="0099400D"/>
    <w:rsid w:val="009953A1"/>
    <w:rsid w:val="0099612C"/>
    <w:rsid w:val="00996BF0"/>
    <w:rsid w:val="009A02AF"/>
    <w:rsid w:val="009A0AA1"/>
    <w:rsid w:val="009A3580"/>
    <w:rsid w:val="009A3A04"/>
    <w:rsid w:val="009A7ED6"/>
    <w:rsid w:val="009A7FC8"/>
    <w:rsid w:val="009B0030"/>
    <w:rsid w:val="009B098D"/>
    <w:rsid w:val="009B0A34"/>
    <w:rsid w:val="009B469A"/>
    <w:rsid w:val="009B569F"/>
    <w:rsid w:val="009B56EE"/>
    <w:rsid w:val="009B5D75"/>
    <w:rsid w:val="009B7C4C"/>
    <w:rsid w:val="009C1561"/>
    <w:rsid w:val="009C2471"/>
    <w:rsid w:val="009C2527"/>
    <w:rsid w:val="009C27DC"/>
    <w:rsid w:val="009C4DDF"/>
    <w:rsid w:val="009C5658"/>
    <w:rsid w:val="009C6C39"/>
    <w:rsid w:val="009D02DD"/>
    <w:rsid w:val="009D0F39"/>
    <w:rsid w:val="009D2ECE"/>
    <w:rsid w:val="009D4A53"/>
    <w:rsid w:val="009D6F28"/>
    <w:rsid w:val="009D702B"/>
    <w:rsid w:val="009E1103"/>
    <w:rsid w:val="009E1648"/>
    <w:rsid w:val="009E2576"/>
    <w:rsid w:val="009E3791"/>
    <w:rsid w:val="009E60E6"/>
    <w:rsid w:val="009E627A"/>
    <w:rsid w:val="009E660C"/>
    <w:rsid w:val="009E6EA1"/>
    <w:rsid w:val="009F174F"/>
    <w:rsid w:val="009F2785"/>
    <w:rsid w:val="009F330F"/>
    <w:rsid w:val="009F5030"/>
    <w:rsid w:val="009F5424"/>
    <w:rsid w:val="00A01F8A"/>
    <w:rsid w:val="00A02AF2"/>
    <w:rsid w:val="00A02FC4"/>
    <w:rsid w:val="00A030BA"/>
    <w:rsid w:val="00A03F4D"/>
    <w:rsid w:val="00A04ED7"/>
    <w:rsid w:val="00A0586D"/>
    <w:rsid w:val="00A05D92"/>
    <w:rsid w:val="00A10664"/>
    <w:rsid w:val="00A1240D"/>
    <w:rsid w:val="00A12E4C"/>
    <w:rsid w:val="00A148E1"/>
    <w:rsid w:val="00A149C2"/>
    <w:rsid w:val="00A21F90"/>
    <w:rsid w:val="00A2240A"/>
    <w:rsid w:val="00A23281"/>
    <w:rsid w:val="00A242AE"/>
    <w:rsid w:val="00A271A3"/>
    <w:rsid w:val="00A30109"/>
    <w:rsid w:val="00A30C4A"/>
    <w:rsid w:val="00A32614"/>
    <w:rsid w:val="00A32666"/>
    <w:rsid w:val="00A33A1F"/>
    <w:rsid w:val="00A3547C"/>
    <w:rsid w:val="00A35AF0"/>
    <w:rsid w:val="00A36172"/>
    <w:rsid w:val="00A36346"/>
    <w:rsid w:val="00A4374F"/>
    <w:rsid w:val="00A479C5"/>
    <w:rsid w:val="00A50610"/>
    <w:rsid w:val="00A51E1C"/>
    <w:rsid w:val="00A52DF1"/>
    <w:rsid w:val="00A53E2D"/>
    <w:rsid w:val="00A540FA"/>
    <w:rsid w:val="00A56E31"/>
    <w:rsid w:val="00A57D65"/>
    <w:rsid w:val="00A57DD1"/>
    <w:rsid w:val="00A600FE"/>
    <w:rsid w:val="00A61130"/>
    <w:rsid w:val="00A62BAF"/>
    <w:rsid w:val="00A63099"/>
    <w:rsid w:val="00A637C9"/>
    <w:rsid w:val="00A6402E"/>
    <w:rsid w:val="00A64395"/>
    <w:rsid w:val="00A647F3"/>
    <w:rsid w:val="00A65C05"/>
    <w:rsid w:val="00A7070D"/>
    <w:rsid w:val="00A716E2"/>
    <w:rsid w:val="00A71860"/>
    <w:rsid w:val="00A7408A"/>
    <w:rsid w:val="00A74277"/>
    <w:rsid w:val="00A74EFF"/>
    <w:rsid w:val="00A77D2B"/>
    <w:rsid w:val="00A81144"/>
    <w:rsid w:val="00A8210E"/>
    <w:rsid w:val="00A836E7"/>
    <w:rsid w:val="00A83835"/>
    <w:rsid w:val="00A84238"/>
    <w:rsid w:val="00A8446A"/>
    <w:rsid w:val="00A87994"/>
    <w:rsid w:val="00A9191A"/>
    <w:rsid w:val="00A92A65"/>
    <w:rsid w:val="00A947DF"/>
    <w:rsid w:val="00AA0164"/>
    <w:rsid w:val="00AA0F51"/>
    <w:rsid w:val="00AA1566"/>
    <w:rsid w:val="00AA1A80"/>
    <w:rsid w:val="00AA1D6E"/>
    <w:rsid w:val="00AA5404"/>
    <w:rsid w:val="00AA5EF3"/>
    <w:rsid w:val="00AA6CE9"/>
    <w:rsid w:val="00AA796C"/>
    <w:rsid w:val="00AB09C9"/>
    <w:rsid w:val="00AB1E38"/>
    <w:rsid w:val="00AB276E"/>
    <w:rsid w:val="00AB2BDC"/>
    <w:rsid w:val="00AB2D21"/>
    <w:rsid w:val="00AB514D"/>
    <w:rsid w:val="00AB5854"/>
    <w:rsid w:val="00AB770E"/>
    <w:rsid w:val="00AC0949"/>
    <w:rsid w:val="00AC2293"/>
    <w:rsid w:val="00AC23C3"/>
    <w:rsid w:val="00AC5AF3"/>
    <w:rsid w:val="00AD1692"/>
    <w:rsid w:val="00AD208C"/>
    <w:rsid w:val="00AD46D5"/>
    <w:rsid w:val="00AD492E"/>
    <w:rsid w:val="00AD53FA"/>
    <w:rsid w:val="00AD78D7"/>
    <w:rsid w:val="00AD7EE1"/>
    <w:rsid w:val="00AE10D2"/>
    <w:rsid w:val="00AE2805"/>
    <w:rsid w:val="00AE3561"/>
    <w:rsid w:val="00AE35C2"/>
    <w:rsid w:val="00AE438F"/>
    <w:rsid w:val="00AE547C"/>
    <w:rsid w:val="00AE68DC"/>
    <w:rsid w:val="00AF081D"/>
    <w:rsid w:val="00AF2A67"/>
    <w:rsid w:val="00AF2E43"/>
    <w:rsid w:val="00AF4692"/>
    <w:rsid w:val="00AF4BD4"/>
    <w:rsid w:val="00AF5825"/>
    <w:rsid w:val="00B00D38"/>
    <w:rsid w:val="00B045D1"/>
    <w:rsid w:val="00B0539C"/>
    <w:rsid w:val="00B06816"/>
    <w:rsid w:val="00B1008F"/>
    <w:rsid w:val="00B107CA"/>
    <w:rsid w:val="00B10C74"/>
    <w:rsid w:val="00B122B4"/>
    <w:rsid w:val="00B12FF0"/>
    <w:rsid w:val="00B155DD"/>
    <w:rsid w:val="00B15C74"/>
    <w:rsid w:val="00B1676B"/>
    <w:rsid w:val="00B16F29"/>
    <w:rsid w:val="00B201D8"/>
    <w:rsid w:val="00B20CE5"/>
    <w:rsid w:val="00B22F4C"/>
    <w:rsid w:val="00B35647"/>
    <w:rsid w:val="00B3615D"/>
    <w:rsid w:val="00B36A91"/>
    <w:rsid w:val="00B3702F"/>
    <w:rsid w:val="00B3715F"/>
    <w:rsid w:val="00B371B2"/>
    <w:rsid w:val="00B37623"/>
    <w:rsid w:val="00B40616"/>
    <w:rsid w:val="00B426E6"/>
    <w:rsid w:val="00B434E0"/>
    <w:rsid w:val="00B438C8"/>
    <w:rsid w:val="00B44E41"/>
    <w:rsid w:val="00B45979"/>
    <w:rsid w:val="00B47680"/>
    <w:rsid w:val="00B514FD"/>
    <w:rsid w:val="00B54069"/>
    <w:rsid w:val="00B550F2"/>
    <w:rsid w:val="00B560A6"/>
    <w:rsid w:val="00B607E3"/>
    <w:rsid w:val="00B63504"/>
    <w:rsid w:val="00B64CD8"/>
    <w:rsid w:val="00B651B5"/>
    <w:rsid w:val="00B65FA9"/>
    <w:rsid w:val="00B71A2B"/>
    <w:rsid w:val="00B724BA"/>
    <w:rsid w:val="00B75916"/>
    <w:rsid w:val="00B75EE2"/>
    <w:rsid w:val="00B7609F"/>
    <w:rsid w:val="00B767D7"/>
    <w:rsid w:val="00B77A5C"/>
    <w:rsid w:val="00B80CF5"/>
    <w:rsid w:val="00B813D7"/>
    <w:rsid w:val="00B81785"/>
    <w:rsid w:val="00B81A22"/>
    <w:rsid w:val="00B82E45"/>
    <w:rsid w:val="00B83BE7"/>
    <w:rsid w:val="00B83EB7"/>
    <w:rsid w:val="00B84351"/>
    <w:rsid w:val="00B85066"/>
    <w:rsid w:val="00B85FA5"/>
    <w:rsid w:val="00B904AA"/>
    <w:rsid w:val="00B91D24"/>
    <w:rsid w:val="00B92E73"/>
    <w:rsid w:val="00B92FB5"/>
    <w:rsid w:val="00B93C61"/>
    <w:rsid w:val="00B94B1F"/>
    <w:rsid w:val="00B951D5"/>
    <w:rsid w:val="00B95EA1"/>
    <w:rsid w:val="00B96F89"/>
    <w:rsid w:val="00BA0334"/>
    <w:rsid w:val="00BA096C"/>
    <w:rsid w:val="00BA0EC6"/>
    <w:rsid w:val="00BA23F1"/>
    <w:rsid w:val="00BA3AE0"/>
    <w:rsid w:val="00BA4571"/>
    <w:rsid w:val="00BA6D9F"/>
    <w:rsid w:val="00BB1C7E"/>
    <w:rsid w:val="00BB213C"/>
    <w:rsid w:val="00BB247E"/>
    <w:rsid w:val="00BB3F75"/>
    <w:rsid w:val="00BB539F"/>
    <w:rsid w:val="00BB5712"/>
    <w:rsid w:val="00BB6382"/>
    <w:rsid w:val="00BB7568"/>
    <w:rsid w:val="00BC1C29"/>
    <w:rsid w:val="00BC4993"/>
    <w:rsid w:val="00BC4F2C"/>
    <w:rsid w:val="00BD4DE8"/>
    <w:rsid w:val="00BD5C16"/>
    <w:rsid w:val="00BE0341"/>
    <w:rsid w:val="00BE117F"/>
    <w:rsid w:val="00BE3732"/>
    <w:rsid w:val="00BE3DAE"/>
    <w:rsid w:val="00BE4897"/>
    <w:rsid w:val="00BE49D4"/>
    <w:rsid w:val="00BE55C3"/>
    <w:rsid w:val="00BE5E05"/>
    <w:rsid w:val="00BF00D5"/>
    <w:rsid w:val="00BF3456"/>
    <w:rsid w:val="00BF3D71"/>
    <w:rsid w:val="00BF48D8"/>
    <w:rsid w:val="00BF688F"/>
    <w:rsid w:val="00BF7667"/>
    <w:rsid w:val="00C0037D"/>
    <w:rsid w:val="00C0057E"/>
    <w:rsid w:val="00C02607"/>
    <w:rsid w:val="00C047F1"/>
    <w:rsid w:val="00C055A6"/>
    <w:rsid w:val="00C0565A"/>
    <w:rsid w:val="00C07CEA"/>
    <w:rsid w:val="00C166CD"/>
    <w:rsid w:val="00C200C8"/>
    <w:rsid w:val="00C21503"/>
    <w:rsid w:val="00C23E2B"/>
    <w:rsid w:val="00C2435B"/>
    <w:rsid w:val="00C24E64"/>
    <w:rsid w:val="00C30182"/>
    <w:rsid w:val="00C32C57"/>
    <w:rsid w:val="00C36BAB"/>
    <w:rsid w:val="00C37569"/>
    <w:rsid w:val="00C40038"/>
    <w:rsid w:val="00C40E92"/>
    <w:rsid w:val="00C41181"/>
    <w:rsid w:val="00C42146"/>
    <w:rsid w:val="00C42641"/>
    <w:rsid w:val="00C43BBD"/>
    <w:rsid w:val="00C44361"/>
    <w:rsid w:val="00C453A8"/>
    <w:rsid w:val="00C475AF"/>
    <w:rsid w:val="00C500CC"/>
    <w:rsid w:val="00C50BE0"/>
    <w:rsid w:val="00C52E1F"/>
    <w:rsid w:val="00C52FC3"/>
    <w:rsid w:val="00C53A5D"/>
    <w:rsid w:val="00C54592"/>
    <w:rsid w:val="00C56118"/>
    <w:rsid w:val="00C5680B"/>
    <w:rsid w:val="00C5696C"/>
    <w:rsid w:val="00C56B2A"/>
    <w:rsid w:val="00C5740D"/>
    <w:rsid w:val="00C5748F"/>
    <w:rsid w:val="00C57DED"/>
    <w:rsid w:val="00C60027"/>
    <w:rsid w:val="00C63E97"/>
    <w:rsid w:val="00C64AD2"/>
    <w:rsid w:val="00C66804"/>
    <w:rsid w:val="00C70492"/>
    <w:rsid w:val="00C71B4C"/>
    <w:rsid w:val="00C72360"/>
    <w:rsid w:val="00C73240"/>
    <w:rsid w:val="00C76913"/>
    <w:rsid w:val="00C7748A"/>
    <w:rsid w:val="00C7779E"/>
    <w:rsid w:val="00C77D17"/>
    <w:rsid w:val="00C77FD3"/>
    <w:rsid w:val="00C824F7"/>
    <w:rsid w:val="00C8314D"/>
    <w:rsid w:val="00C85783"/>
    <w:rsid w:val="00C85995"/>
    <w:rsid w:val="00C86814"/>
    <w:rsid w:val="00C8791E"/>
    <w:rsid w:val="00C92340"/>
    <w:rsid w:val="00C9246C"/>
    <w:rsid w:val="00C92F5E"/>
    <w:rsid w:val="00C93B11"/>
    <w:rsid w:val="00C94362"/>
    <w:rsid w:val="00C948FD"/>
    <w:rsid w:val="00CA1D5E"/>
    <w:rsid w:val="00CA37B1"/>
    <w:rsid w:val="00CA387F"/>
    <w:rsid w:val="00CA4C1C"/>
    <w:rsid w:val="00CA6C96"/>
    <w:rsid w:val="00CA7A03"/>
    <w:rsid w:val="00CB06BD"/>
    <w:rsid w:val="00CB0926"/>
    <w:rsid w:val="00CB23B0"/>
    <w:rsid w:val="00CB36AD"/>
    <w:rsid w:val="00CB4E86"/>
    <w:rsid w:val="00CB560C"/>
    <w:rsid w:val="00CB61A0"/>
    <w:rsid w:val="00CB6664"/>
    <w:rsid w:val="00CB7058"/>
    <w:rsid w:val="00CC02AB"/>
    <w:rsid w:val="00CC1DD1"/>
    <w:rsid w:val="00CC2626"/>
    <w:rsid w:val="00CC28D2"/>
    <w:rsid w:val="00CC320E"/>
    <w:rsid w:val="00CC7CC0"/>
    <w:rsid w:val="00CC7E33"/>
    <w:rsid w:val="00CD2C50"/>
    <w:rsid w:val="00CD40DF"/>
    <w:rsid w:val="00CD432D"/>
    <w:rsid w:val="00CD605E"/>
    <w:rsid w:val="00CE03CD"/>
    <w:rsid w:val="00CE0A6D"/>
    <w:rsid w:val="00CE0C27"/>
    <w:rsid w:val="00CE1396"/>
    <w:rsid w:val="00CE2225"/>
    <w:rsid w:val="00CE547D"/>
    <w:rsid w:val="00CE593A"/>
    <w:rsid w:val="00CE5E57"/>
    <w:rsid w:val="00CE6D73"/>
    <w:rsid w:val="00CE7996"/>
    <w:rsid w:val="00CF0025"/>
    <w:rsid w:val="00CF127C"/>
    <w:rsid w:val="00CF24CE"/>
    <w:rsid w:val="00CF5DDE"/>
    <w:rsid w:val="00CF623C"/>
    <w:rsid w:val="00D01AE0"/>
    <w:rsid w:val="00D01EB5"/>
    <w:rsid w:val="00D01F75"/>
    <w:rsid w:val="00D02F94"/>
    <w:rsid w:val="00D100FC"/>
    <w:rsid w:val="00D1060A"/>
    <w:rsid w:val="00D11999"/>
    <w:rsid w:val="00D1212F"/>
    <w:rsid w:val="00D12E86"/>
    <w:rsid w:val="00D142E1"/>
    <w:rsid w:val="00D146D5"/>
    <w:rsid w:val="00D15EE0"/>
    <w:rsid w:val="00D17034"/>
    <w:rsid w:val="00D22DA7"/>
    <w:rsid w:val="00D26069"/>
    <w:rsid w:val="00D302CC"/>
    <w:rsid w:val="00D3263F"/>
    <w:rsid w:val="00D364AA"/>
    <w:rsid w:val="00D36E92"/>
    <w:rsid w:val="00D37EFE"/>
    <w:rsid w:val="00D41181"/>
    <w:rsid w:val="00D4386F"/>
    <w:rsid w:val="00D44FE5"/>
    <w:rsid w:val="00D50AB4"/>
    <w:rsid w:val="00D52C76"/>
    <w:rsid w:val="00D56DEC"/>
    <w:rsid w:val="00D61039"/>
    <w:rsid w:val="00D61A4F"/>
    <w:rsid w:val="00D63900"/>
    <w:rsid w:val="00D63DB9"/>
    <w:rsid w:val="00D64796"/>
    <w:rsid w:val="00D6595C"/>
    <w:rsid w:val="00D66667"/>
    <w:rsid w:val="00D67382"/>
    <w:rsid w:val="00D67F8F"/>
    <w:rsid w:val="00D71159"/>
    <w:rsid w:val="00D77D88"/>
    <w:rsid w:val="00D82C2A"/>
    <w:rsid w:val="00D83D84"/>
    <w:rsid w:val="00D85442"/>
    <w:rsid w:val="00D86267"/>
    <w:rsid w:val="00D862F1"/>
    <w:rsid w:val="00D86C63"/>
    <w:rsid w:val="00D90D0F"/>
    <w:rsid w:val="00D92B68"/>
    <w:rsid w:val="00D95305"/>
    <w:rsid w:val="00D963ED"/>
    <w:rsid w:val="00DA02F7"/>
    <w:rsid w:val="00DA1F19"/>
    <w:rsid w:val="00DA2EAA"/>
    <w:rsid w:val="00DA3486"/>
    <w:rsid w:val="00DA6184"/>
    <w:rsid w:val="00DA7D75"/>
    <w:rsid w:val="00DB1C17"/>
    <w:rsid w:val="00DB2577"/>
    <w:rsid w:val="00DB2A47"/>
    <w:rsid w:val="00DB3F24"/>
    <w:rsid w:val="00DB5113"/>
    <w:rsid w:val="00DC1380"/>
    <w:rsid w:val="00DC1B9A"/>
    <w:rsid w:val="00DC26E4"/>
    <w:rsid w:val="00DC26F6"/>
    <w:rsid w:val="00DC2848"/>
    <w:rsid w:val="00DC305D"/>
    <w:rsid w:val="00DC4347"/>
    <w:rsid w:val="00DC7DF8"/>
    <w:rsid w:val="00DD4080"/>
    <w:rsid w:val="00DD7F2A"/>
    <w:rsid w:val="00DE26F9"/>
    <w:rsid w:val="00DE2D5C"/>
    <w:rsid w:val="00DE358D"/>
    <w:rsid w:val="00DE3607"/>
    <w:rsid w:val="00DE5022"/>
    <w:rsid w:val="00DE6D08"/>
    <w:rsid w:val="00DF1FEA"/>
    <w:rsid w:val="00DF3078"/>
    <w:rsid w:val="00DF567A"/>
    <w:rsid w:val="00DF709F"/>
    <w:rsid w:val="00DF777C"/>
    <w:rsid w:val="00E01653"/>
    <w:rsid w:val="00E01D76"/>
    <w:rsid w:val="00E100BA"/>
    <w:rsid w:val="00E1317A"/>
    <w:rsid w:val="00E1338F"/>
    <w:rsid w:val="00E14771"/>
    <w:rsid w:val="00E162C5"/>
    <w:rsid w:val="00E171D2"/>
    <w:rsid w:val="00E2567D"/>
    <w:rsid w:val="00E27928"/>
    <w:rsid w:val="00E35522"/>
    <w:rsid w:val="00E36426"/>
    <w:rsid w:val="00E402B8"/>
    <w:rsid w:val="00E4053F"/>
    <w:rsid w:val="00E41A80"/>
    <w:rsid w:val="00E42EFE"/>
    <w:rsid w:val="00E43059"/>
    <w:rsid w:val="00E4547C"/>
    <w:rsid w:val="00E47687"/>
    <w:rsid w:val="00E47F60"/>
    <w:rsid w:val="00E47F9F"/>
    <w:rsid w:val="00E52D30"/>
    <w:rsid w:val="00E53C1B"/>
    <w:rsid w:val="00E56ECC"/>
    <w:rsid w:val="00E56FBC"/>
    <w:rsid w:val="00E571AD"/>
    <w:rsid w:val="00E57415"/>
    <w:rsid w:val="00E57AD2"/>
    <w:rsid w:val="00E60966"/>
    <w:rsid w:val="00E61CFB"/>
    <w:rsid w:val="00E71624"/>
    <w:rsid w:val="00E71E41"/>
    <w:rsid w:val="00E72ACF"/>
    <w:rsid w:val="00E7465A"/>
    <w:rsid w:val="00E81D39"/>
    <w:rsid w:val="00E8317D"/>
    <w:rsid w:val="00E838DA"/>
    <w:rsid w:val="00E855DE"/>
    <w:rsid w:val="00E87345"/>
    <w:rsid w:val="00E87633"/>
    <w:rsid w:val="00E8774C"/>
    <w:rsid w:val="00E9270C"/>
    <w:rsid w:val="00E94B27"/>
    <w:rsid w:val="00E95014"/>
    <w:rsid w:val="00EA0B3A"/>
    <w:rsid w:val="00EA1B99"/>
    <w:rsid w:val="00EA1F0B"/>
    <w:rsid w:val="00EA40A0"/>
    <w:rsid w:val="00EA61C6"/>
    <w:rsid w:val="00EA61C7"/>
    <w:rsid w:val="00EA682D"/>
    <w:rsid w:val="00EA7277"/>
    <w:rsid w:val="00EB071D"/>
    <w:rsid w:val="00EB5559"/>
    <w:rsid w:val="00EB5B73"/>
    <w:rsid w:val="00EB5B82"/>
    <w:rsid w:val="00EB5C23"/>
    <w:rsid w:val="00EB67A4"/>
    <w:rsid w:val="00EC02BB"/>
    <w:rsid w:val="00EC293E"/>
    <w:rsid w:val="00EC2E5D"/>
    <w:rsid w:val="00EC35DA"/>
    <w:rsid w:val="00EC3F6C"/>
    <w:rsid w:val="00EC54B0"/>
    <w:rsid w:val="00EC5AA2"/>
    <w:rsid w:val="00EC5BE6"/>
    <w:rsid w:val="00EC78CF"/>
    <w:rsid w:val="00EC7E96"/>
    <w:rsid w:val="00ED12FD"/>
    <w:rsid w:val="00ED1C7D"/>
    <w:rsid w:val="00ED1EFE"/>
    <w:rsid w:val="00ED222C"/>
    <w:rsid w:val="00ED53E3"/>
    <w:rsid w:val="00ED6923"/>
    <w:rsid w:val="00ED71F8"/>
    <w:rsid w:val="00ED7E59"/>
    <w:rsid w:val="00EE3759"/>
    <w:rsid w:val="00EE5402"/>
    <w:rsid w:val="00EE6BD9"/>
    <w:rsid w:val="00EE6DFB"/>
    <w:rsid w:val="00EE7B76"/>
    <w:rsid w:val="00EF00FF"/>
    <w:rsid w:val="00EF1FAC"/>
    <w:rsid w:val="00EF351C"/>
    <w:rsid w:val="00EF4A8B"/>
    <w:rsid w:val="00EF4C70"/>
    <w:rsid w:val="00EF4DF5"/>
    <w:rsid w:val="00EF6D2F"/>
    <w:rsid w:val="00F00DBD"/>
    <w:rsid w:val="00F0161D"/>
    <w:rsid w:val="00F02AD4"/>
    <w:rsid w:val="00F02E77"/>
    <w:rsid w:val="00F044BD"/>
    <w:rsid w:val="00F04AA9"/>
    <w:rsid w:val="00F04C07"/>
    <w:rsid w:val="00F04C77"/>
    <w:rsid w:val="00F067C5"/>
    <w:rsid w:val="00F146F6"/>
    <w:rsid w:val="00F14F84"/>
    <w:rsid w:val="00F15612"/>
    <w:rsid w:val="00F168D8"/>
    <w:rsid w:val="00F2019E"/>
    <w:rsid w:val="00F20854"/>
    <w:rsid w:val="00F20BAD"/>
    <w:rsid w:val="00F21006"/>
    <w:rsid w:val="00F22954"/>
    <w:rsid w:val="00F22E73"/>
    <w:rsid w:val="00F25354"/>
    <w:rsid w:val="00F266D5"/>
    <w:rsid w:val="00F267DB"/>
    <w:rsid w:val="00F314E4"/>
    <w:rsid w:val="00F326B5"/>
    <w:rsid w:val="00F32F09"/>
    <w:rsid w:val="00F34E4E"/>
    <w:rsid w:val="00F3522C"/>
    <w:rsid w:val="00F356EA"/>
    <w:rsid w:val="00F371DB"/>
    <w:rsid w:val="00F37B0C"/>
    <w:rsid w:val="00F43CB0"/>
    <w:rsid w:val="00F45418"/>
    <w:rsid w:val="00F45BA7"/>
    <w:rsid w:val="00F468ED"/>
    <w:rsid w:val="00F47618"/>
    <w:rsid w:val="00F47EDC"/>
    <w:rsid w:val="00F50628"/>
    <w:rsid w:val="00F50D6E"/>
    <w:rsid w:val="00F54777"/>
    <w:rsid w:val="00F54E0F"/>
    <w:rsid w:val="00F56F61"/>
    <w:rsid w:val="00F57C55"/>
    <w:rsid w:val="00F614EF"/>
    <w:rsid w:val="00F61C64"/>
    <w:rsid w:val="00F630FB"/>
    <w:rsid w:val="00F64621"/>
    <w:rsid w:val="00F6642F"/>
    <w:rsid w:val="00F6783F"/>
    <w:rsid w:val="00F67E56"/>
    <w:rsid w:val="00F7035C"/>
    <w:rsid w:val="00F7040B"/>
    <w:rsid w:val="00F70E22"/>
    <w:rsid w:val="00F72346"/>
    <w:rsid w:val="00F758B8"/>
    <w:rsid w:val="00F76910"/>
    <w:rsid w:val="00F76BF2"/>
    <w:rsid w:val="00F76F39"/>
    <w:rsid w:val="00F8044E"/>
    <w:rsid w:val="00F80B42"/>
    <w:rsid w:val="00F8107B"/>
    <w:rsid w:val="00F81B2B"/>
    <w:rsid w:val="00F81F7D"/>
    <w:rsid w:val="00F8318F"/>
    <w:rsid w:val="00F83532"/>
    <w:rsid w:val="00F838A6"/>
    <w:rsid w:val="00F85D25"/>
    <w:rsid w:val="00F86AD3"/>
    <w:rsid w:val="00F91B32"/>
    <w:rsid w:val="00F92B45"/>
    <w:rsid w:val="00F92DA9"/>
    <w:rsid w:val="00F935C1"/>
    <w:rsid w:val="00F938A5"/>
    <w:rsid w:val="00F944CB"/>
    <w:rsid w:val="00F9728B"/>
    <w:rsid w:val="00FA02D9"/>
    <w:rsid w:val="00FA2BC2"/>
    <w:rsid w:val="00FA3974"/>
    <w:rsid w:val="00FA51E5"/>
    <w:rsid w:val="00FA6FE2"/>
    <w:rsid w:val="00FA703B"/>
    <w:rsid w:val="00FA74A2"/>
    <w:rsid w:val="00FB1AC1"/>
    <w:rsid w:val="00FB5F5D"/>
    <w:rsid w:val="00FB63FA"/>
    <w:rsid w:val="00FB6FB0"/>
    <w:rsid w:val="00FB7A1E"/>
    <w:rsid w:val="00FC10F4"/>
    <w:rsid w:val="00FC17BD"/>
    <w:rsid w:val="00FC225E"/>
    <w:rsid w:val="00FC2624"/>
    <w:rsid w:val="00FC27DC"/>
    <w:rsid w:val="00FC2FDB"/>
    <w:rsid w:val="00FC4A55"/>
    <w:rsid w:val="00FC556B"/>
    <w:rsid w:val="00FC69C8"/>
    <w:rsid w:val="00FC7274"/>
    <w:rsid w:val="00FD013A"/>
    <w:rsid w:val="00FD10AF"/>
    <w:rsid w:val="00FD1F89"/>
    <w:rsid w:val="00FD227E"/>
    <w:rsid w:val="00FD2392"/>
    <w:rsid w:val="00FD2422"/>
    <w:rsid w:val="00FD5276"/>
    <w:rsid w:val="00FD6A49"/>
    <w:rsid w:val="00FE0769"/>
    <w:rsid w:val="00FE334C"/>
    <w:rsid w:val="00FE374D"/>
    <w:rsid w:val="00FE3914"/>
    <w:rsid w:val="00FE4644"/>
    <w:rsid w:val="00FE4B4C"/>
    <w:rsid w:val="00FF2763"/>
    <w:rsid w:val="00FF2D03"/>
    <w:rsid w:val="00FF4B94"/>
    <w:rsid w:val="00FF6180"/>
    <w:rsid w:val="00FF695F"/>
    <w:rsid w:val="00FF77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A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C346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slov1">
    <w:name w:val="heading 1"/>
    <w:aliases w:val="Heading 1_UMAR"/>
    <w:next w:val="BesediloUMAR"/>
    <w:link w:val="Naslov1Znak"/>
    <w:uiPriority w:val="1"/>
    <w:qFormat/>
    <w:rsid w:val="00C948FD"/>
    <w:pPr>
      <w:keepNext/>
      <w:keepLines/>
      <w:pageBreakBefore/>
      <w:numPr>
        <w:numId w:val="2"/>
      </w:numPr>
      <w:spacing w:before="200" w:after="100" w:line="288" w:lineRule="auto"/>
      <w:ind w:left="357" w:hanging="357"/>
      <w:outlineLvl w:val="0"/>
    </w:pPr>
    <w:rPr>
      <w:rFonts w:ascii="Myriad Pro" w:eastAsiaTheme="minorHAnsi" w:hAnsi="Myriad Pro" w:cs="Arial"/>
      <w:b/>
      <w:bCs/>
      <w:color w:val="9E001A" w:themeColor="accent1"/>
      <w:kern w:val="32"/>
      <w:sz w:val="28"/>
      <w:szCs w:val="22"/>
      <w:lang w:eastAsia="en-US"/>
    </w:rPr>
  </w:style>
  <w:style w:type="paragraph" w:styleId="Naslov2">
    <w:name w:val="heading 2"/>
    <w:aliases w:val="Heading 2_UMAR"/>
    <w:next w:val="BesediloUMAR"/>
    <w:link w:val="Naslov2Znak"/>
    <w:uiPriority w:val="2"/>
    <w:qFormat/>
    <w:rsid w:val="00C948FD"/>
    <w:pPr>
      <w:keepNext/>
      <w:keepLines/>
      <w:numPr>
        <w:ilvl w:val="1"/>
        <w:numId w:val="2"/>
      </w:numPr>
      <w:spacing w:before="200" w:after="100" w:line="288" w:lineRule="auto"/>
      <w:ind w:left="397" w:hanging="397"/>
      <w:contextualSpacing/>
      <w:outlineLvl w:val="1"/>
    </w:pPr>
    <w:rPr>
      <w:rFonts w:ascii="Myriad Pro" w:eastAsiaTheme="minorHAnsi" w:hAnsi="Myriad Pro" w:cstheme="minorBidi"/>
      <w:b/>
      <w:color w:val="9E001A" w:themeColor="accent1"/>
      <w:sz w:val="24"/>
      <w:szCs w:val="22"/>
      <w:lang w:eastAsia="en-US"/>
    </w:rPr>
  </w:style>
  <w:style w:type="paragraph" w:styleId="Naslov3">
    <w:name w:val="heading 3"/>
    <w:aliases w:val="Heading 3_UMAR"/>
    <w:next w:val="BesediloUMAR"/>
    <w:link w:val="Naslov3Znak"/>
    <w:uiPriority w:val="3"/>
    <w:qFormat/>
    <w:rsid w:val="00C948FD"/>
    <w:pPr>
      <w:keepNext/>
      <w:keepLines/>
      <w:numPr>
        <w:ilvl w:val="2"/>
        <w:numId w:val="2"/>
      </w:numPr>
      <w:spacing w:before="200" w:after="100" w:line="288" w:lineRule="auto"/>
      <w:ind w:left="595" w:hanging="595"/>
      <w:contextualSpacing/>
      <w:outlineLvl w:val="2"/>
    </w:pPr>
    <w:rPr>
      <w:rFonts w:ascii="Myriad Pro" w:eastAsiaTheme="minorHAnsi" w:hAnsi="Myriad Pro" w:cs="Arial"/>
      <w:b/>
      <w:bCs/>
      <w:color w:val="9E001A" w:themeColor="accent1"/>
      <w:sz w:val="24"/>
      <w:szCs w:val="26"/>
      <w:lang w:eastAsia="en-US"/>
    </w:rPr>
  </w:style>
  <w:style w:type="paragraph" w:styleId="Naslov4">
    <w:name w:val="heading 4"/>
    <w:basedOn w:val="Navaden"/>
    <w:next w:val="Navaden"/>
    <w:uiPriority w:val="8"/>
    <w:unhideWhenUsed/>
    <w:rsid w:val="00C948FD"/>
    <w:pPr>
      <w:keepNext/>
      <w:numPr>
        <w:ilvl w:val="3"/>
        <w:numId w:val="2"/>
      </w:numPr>
      <w:spacing w:before="360" w:after="240"/>
      <w:outlineLvl w:val="3"/>
    </w:pPr>
    <w:rPr>
      <w:rFonts w:ascii="Myriad Pro" w:hAnsi="Myriad Pro"/>
      <w:b/>
      <w:bCs/>
    </w:rPr>
  </w:style>
  <w:style w:type="paragraph" w:styleId="Naslov5">
    <w:name w:val="heading 5"/>
    <w:basedOn w:val="Navaden"/>
    <w:next w:val="Navaden"/>
    <w:uiPriority w:val="8"/>
    <w:unhideWhenUsed/>
    <w:rsid w:val="00C948FD"/>
    <w:pPr>
      <w:numPr>
        <w:ilvl w:val="4"/>
        <w:numId w:val="2"/>
      </w:numPr>
      <w:spacing w:before="240" w:after="60"/>
      <w:outlineLvl w:val="4"/>
    </w:pPr>
    <w:rPr>
      <w:rFonts w:ascii="Myriad Pro" w:hAnsi="Myriad Pro"/>
      <w:b/>
      <w:bCs/>
      <w:iCs/>
      <w:szCs w:val="26"/>
    </w:rPr>
  </w:style>
  <w:style w:type="paragraph" w:styleId="Naslov6">
    <w:name w:val="heading 6"/>
    <w:basedOn w:val="Navaden"/>
    <w:next w:val="Navaden"/>
    <w:uiPriority w:val="8"/>
    <w:unhideWhenUsed/>
    <w:rsid w:val="00C948FD"/>
    <w:pPr>
      <w:numPr>
        <w:ilvl w:val="5"/>
        <w:numId w:val="2"/>
      </w:numPr>
      <w:spacing w:before="240" w:after="60"/>
      <w:outlineLvl w:val="5"/>
    </w:pPr>
    <w:rPr>
      <w:rFonts w:ascii="Myriad Pro" w:hAnsi="Myriad Pro"/>
      <w:b/>
      <w:bCs/>
    </w:rPr>
  </w:style>
  <w:style w:type="paragraph" w:styleId="Naslov7">
    <w:name w:val="heading 7"/>
    <w:basedOn w:val="Navaden"/>
    <w:next w:val="Navaden"/>
    <w:uiPriority w:val="8"/>
    <w:unhideWhenUsed/>
    <w:rsid w:val="00C948FD"/>
    <w:pPr>
      <w:numPr>
        <w:ilvl w:val="6"/>
        <w:numId w:val="2"/>
      </w:numPr>
      <w:spacing w:before="240" w:after="60"/>
      <w:outlineLvl w:val="6"/>
    </w:pPr>
    <w:rPr>
      <w:rFonts w:ascii="Myriad Pro" w:hAnsi="Myriad Pro"/>
    </w:rPr>
  </w:style>
  <w:style w:type="paragraph" w:styleId="Naslov8">
    <w:name w:val="heading 8"/>
    <w:basedOn w:val="Navaden"/>
    <w:next w:val="Navaden"/>
    <w:uiPriority w:val="8"/>
    <w:unhideWhenUsed/>
    <w:rsid w:val="00C948FD"/>
    <w:pPr>
      <w:numPr>
        <w:ilvl w:val="7"/>
        <w:numId w:val="2"/>
      </w:numPr>
      <w:spacing w:before="240" w:after="60"/>
      <w:outlineLvl w:val="7"/>
    </w:pPr>
    <w:rPr>
      <w:rFonts w:ascii="Myriad Pro" w:hAnsi="Myriad Pro"/>
      <w:i/>
      <w:iCs/>
    </w:rPr>
  </w:style>
  <w:style w:type="paragraph" w:styleId="Naslov9">
    <w:name w:val="heading 9"/>
    <w:basedOn w:val="Navaden"/>
    <w:next w:val="Navaden"/>
    <w:uiPriority w:val="8"/>
    <w:unhideWhenUsed/>
    <w:rsid w:val="00C948FD"/>
    <w:pPr>
      <w:numPr>
        <w:ilvl w:val="8"/>
        <w:numId w:val="2"/>
      </w:numPr>
      <w:spacing w:before="240" w:after="60"/>
      <w:outlineLvl w:val="8"/>
    </w:pPr>
    <w:rPr>
      <w:rFonts w:ascii="Myriad Pro" w:hAnsi="Myriad Pro" w:cs="Arial"/>
    </w:rPr>
  </w:style>
  <w:style w:type="character" w:default="1" w:styleId="Privzetapisavaodstavka">
    <w:name w:val="Default Paragraph Font"/>
    <w:uiPriority w:val="1"/>
    <w:semiHidden/>
    <w:unhideWhenUsed/>
    <w:rsid w:val="005C3464"/>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rsid w:val="005C3464"/>
  </w:style>
  <w:style w:type="paragraph" w:styleId="Sprotnaopomba-besedilo">
    <w:name w:val="footnote text"/>
    <w:basedOn w:val="BesediloUMAR"/>
    <w:link w:val="Sprotnaopomba-besediloZnak"/>
    <w:autoRedefine/>
    <w:uiPriority w:val="8"/>
    <w:qFormat/>
    <w:rsid w:val="00AF2A67"/>
    <w:rPr>
      <w:sz w:val="16"/>
      <w:szCs w:val="14"/>
    </w:rPr>
  </w:style>
  <w:style w:type="character" w:customStyle="1" w:styleId="Sprotnaopomba-besediloZnak">
    <w:name w:val="Sprotna opomba - besedilo Znak"/>
    <w:basedOn w:val="Privzetapisavaodstavka"/>
    <w:link w:val="Sprotnaopomba-besedilo"/>
    <w:uiPriority w:val="8"/>
    <w:rsid w:val="00AF2A67"/>
    <w:rPr>
      <w:rFonts w:ascii="Myriad Pro" w:eastAsiaTheme="minorHAnsi" w:hAnsi="Myriad Pro" w:cstheme="minorBidi"/>
      <w:sz w:val="16"/>
      <w:szCs w:val="14"/>
      <w:lang w:eastAsia="en-US"/>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
    <w:basedOn w:val="Privzetapisavaodstavka"/>
    <w:uiPriority w:val="8"/>
    <w:rsid w:val="00C948FD"/>
    <w:rPr>
      <w:rFonts w:ascii="Myriad Pro" w:hAnsi="Myriad Pro"/>
      <w:sz w:val="18"/>
      <w:vertAlign w:val="superscript"/>
    </w:rPr>
  </w:style>
  <w:style w:type="paragraph" w:styleId="Napis">
    <w:name w:val="caption"/>
    <w:aliases w:val="Okvir/Slika/Tabela_UMAR,DZ_Okvir_Slika_Tabela_Zemljevid"/>
    <w:basedOn w:val="Kazaloslik"/>
    <w:next w:val="BesediloUMAR"/>
    <w:link w:val="NapisZnak"/>
    <w:uiPriority w:val="4"/>
    <w:qFormat/>
    <w:rsid w:val="00C948FD"/>
    <w:pPr>
      <w:keepNext/>
      <w:keepLines/>
      <w:spacing w:before="240" w:after="60"/>
      <w:contextualSpacing/>
    </w:pPr>
    <w:rPr>
      <w:b/>
      <w:bCs/>
    </w:rPr>
  </w:style>
  <w:style w:type="paragraph" w:styleId="Noga">
    <w:name w:val="footer"/>
    <w:basedOn w:val="Navaden"/>
    <w:next w:val="Navaden"/>
    <w:link w:val="NogaZnak"/>
    <w:autoRedefine/>
    <w:uiPriority w:val="99"/>
    <w:rsid w:val="00C948FD"/>
    <w:pPr>
      <w:framePr w:wrap="around" w:vAnchor="text" w:hAnchor="margin" w:xAlign="center" w:y="1"/>
      <w:tabs>
        <w:tab w:val="center" w:pos="4536"/>
        <w:tab w:val="right" w:pos="9072"/>
      </w:tabs>
      <w:spacing w:after="0" w:line="288" w:lineRule="auto"/>
      <w:jc w:val="center"/>
    </w:pPr>
    <w:rPr>
      <w:rFonts w:ascii="Myriad Pro" w:hAnsi="Myriad Pro"/>
      <w:noProof/>
      <w:sz w:val="16"/>
      <w:szCs w:val="16"/>
    </w:rPr>
  </w:style>
  <w:style w:type="paragraph" w:styleId="Kazaloslik">
    <w:name w:val="table of figures"/>
    <w:basedOn w:val="BesediloUMAR"/>
    <w:next w:val="BesediloUMAR"/>
    <w:autoRedefine/>
    <w:uiPriority w:val="99"/>
    <w:rsid w:val="00C948FD"/>
    <w:pPr>
      <w:tabs>
        <w:tab w:val="right" w:leader="dot" w:pos="9070"/>
      </w:tabs>
    </w:pPr>
    <w:rPr>
      <w:noProof/>
      <w:szCs w:val="20"/>
    </w:rPr>
  </w:style>
  <w:style w:type="paragraph" w:styleId="Kazalovirov">
    <w:name w:val="table of authorities"/>
    <w:basedOn w:val="Navaden"/>
    <w:next w:val="Navaden"/>
    <w:semiHidden/>
    <w:rsid w:val="00C948FD"/>
    <w:pPr>
      <w:ind w:left="220" w:hanging="220"/>
    </w:pPr>
  </w:style>
  <w:style w:type="paragraph" w:styleId="Kazalovirov-naslov">
    <w:name w:val="toa heading"/>
    <w:basedOn w:val="Navaden"/>
    <w:next w:val="Navaden"/>
    <w:semiHidden/>
    <w:rsid w:val="00C948FD"/>
    <w:pPr>
      <w:spacing w:before="120"/>
    </w:pPr>
    <w:rPr>
      <w:rFonts w:cs="Arial"/>
      <w:b/>
      <w:bCs/>
    </w:rPr>
  </w:style>
  <w:style w:type="paragraph" w:styleId="Kazalovsebine1">
    <w:name w:val="toc 1"/>
    <w:basedOn w:val="BesediloUMAR"/>
    <w:next w:val="BesediloUMAR"/>
    <w:autoRedefine/>
    <w:uiPriority w:val="39"/>
    <w:rsid w:val="00FA74A2"/>
    <w:pPr>
      <w:tabs>
        <w:tab w:val="left" w:pos="340"/>
        <w:tab w:val="right" w:leader="dot" w:pos="9070"/>
      </w:tabs>
      <w:spacing w:before="100" w:after="100"/>
    </w:pPr>
    <w:rPr>
      <w:rFonts w:cs="Arial"/>
      <w:b/>
      <w:bCs/>
      <w:noProof/>
      <w:kern w:val="32"/>
      <w:szCs w:val="20"/>
    </w:rPr>
  </w:style>
  <w:style w:type="paragraph" w:styleId="Kazalovsebine2">
    <w:name w:val="toc 2"/>
    <w:basedOn w:val="BesediloUMAR"/>
    <w:next w:val="BesediloUMAR"/>
    <w:autoRedefine/>
    <w:uiPriority w:val="39"/>
    <w:rsid w:val="00C948FD"/>
    <w:pPr>
      <w:tabs>
        <w:tab w:val="right" w:leader="dot" w:pos="9070"/>
      </w:tabs>
      <w:spacing w:before="100" w:after="100"/>
      <w:ind w:left="340"/>
    </w:pPr>
    <w:rPr>
      <w:noProof/>
    </w:rPr>
  </w:style>
  <w:style w:type="paragraph" w:styleId="Kazalovsebine3">
    <w:name w:val="toc 3"/>
    <w:next w:val="BesediloUMAR"/>
    <w:autoRedefine/>
    <w:uiPriority w:val="39"/>
    <w:rsid w:val="00C44361"/>
    <w:pPr>
      <w:tabs>
        <w:tab w:val="right" w:leader="dot" w:pos="9070"/>
      </w:tabs>
      <w:spacing w:after="100" w:line="288" w:lineRule="auto"/>
      <w:ind w:left="340"/>
      <w:jc w:val="both"/>
    </w:pPr>
    <w:rPr>
      <w:rFonts w:ascii="Myriad Pro" w:eastAsiaTheme="minorHAnsi" w:hAnsi="Myriad Pro" w:cstheme="minorBidi"/>
      <w:szCs w:val="22"/>
      <w:lang w:eastAsia="en-US"/>
    </w:rPr>
  </w:style>
  <w:style w:type="paragraph" w:styleId="Kazalovsebine4">
    <w:name w:val="toc 4"/>
    <w:basedOn w:val="Navaden"/>
    <w:autoRedefine/>
    <w:semiHidden/>
    <w:rsid w:val="00C948FD"/>
    <w:pPr>
      <w:spacing w:after="20"/>
      <w:ind w:left="340"/>
      <w:contextualSpacing/>
    </w:pPr>
  </w:style>
  <w:style w:type="paragraph" w:styleId="Kazalovsebine5">
    <w:name w:val="toc 5"/>
    <w:basedOn w:val="Navaden"/>
    <w:autoRedefine/>
    <w:semiHidden/>
    <w:rsid w:val="00C948FD"/>
    <w:pPr>
      <w:spacing w:after="20"/>
      <w:contextualSpacing/>
    </w:pPr>
  </w:style>
  <w:style w:type="paragraph" w:styleId="Kazalovsebine6">
    <w:name w:val="toc 6"/>
    <w:basedOn w:val="Navaden"/>
    <w:next w:val="Navaden"/>
    <w:autoRedefine/>
    <w:semiHidden/>
    <w:rsid w:val="00C948FD"/>
    <w:pPr>
      <w:ind w:left="1100"/>
    </w:pPr>
  </w:style>
  <w:style w:type="paragraph" w:styleId="Kazalovsebine7">
    <w:name w:val="toc 7"/>
    <w:basedOn w:val="Navaden"/>
    <w:next w:val="Navaden"/>
    <w:autoRedefine/>
    <w:semiHidden/>
    <w:rsid w:val="00C948FD"/>
    <w:pPr>
      <w:ind w:left="1320"/>
    </w:pPr>
  </w:style>
  <w:style w:type="paragraph" w:styleId="Kazalovsebine8">
    <w:name w:val="toc 8"/>
    <w:basedOn w:val="Navaden"/>
    <w:next w:val="Navaden"/>
    <w:autoRedefine/>
    <w:semiHidden/>
    <w:rsid w:val="00C948FD"/>
    <w:pPr>
      <w:ind w:left="1540"/>
    </w:pPr>
  </w:style>
  <w:style w:type="paragraph" w:styleId="Kazalovsebine9">
    <w:name w:val="toc 9"/>
    <w:basedOn w:val="Navaden"/>
    <w:next w:val="Navaden"/>
    <w:autoRedefine/>
    <w:semiHidden/>
    <w:rsid w:val="00C948FD"/>
    <w:pPr>
      <w:ind w:left="1760"/>
    </w:pPr>
  </w:style>
  <w:style w:type="paragraph" w:styleId="Pripombabesedilo">
    <w:name w:val="annotation text"/>
    <w:basedOn w:val="Navaden"/>
    <w:link w:val="PripombabesediloZnak"/>
    <w:semiHidden/>
    <w:rsid w:val="00C948FD"/>
    <w:rPr>
      <w:szCs w:val="20"/>
    </w:rPr>
  </w:style>
  <w:style w:type="character" w:styleId="Pripombasklic">
    <w:name w:val="annotation reference"/>
    <w:basedOn w:val="Privzetapisavaodstavka"/>
    <w:semiHidden/>
    <w:rsid w:val="00C948FD"/>
    <w:rPr>
      <w:sz w:val="16"/>
      <w:szCs w:val="16"/>
    </w:rPr>
  </w:style>
  <w:style w:type="paragraph" w:styleId="Konnaopomba-besedilo">
    <w:name w:val="endnote text"/>
    <w:basedOn w:val="Navaden"/>
    <w:autoRedefine/>
    <w:semiHidden/>
    <w:rsid w:val="00C948FD"/>
    <w:rPr>
      <w:szCs w:val="20"/>
    </w:rPr>
  </w:style>
  <w:style w:type="character" w:styleId="Konnaopomba-sklic">
    <w:name w:val="endnote reference"/>
    <w:basedOn w:val="Privzetapisavaodstavka"/>
    <w:semiHidden/>
    <w:rsid w:val="00C948FD"/>
    <w:rPr>
      <w:vertAlign w:val="superscript"/>
    </w:rPr>
  </w:style>
  <w:style w:type="paragraph" w:styleId="Makrobesedilo">
    <w:name w:val="macro"/>
    <w:semiHidden/>
    <w:rsid w:val="00C948F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styleId="Stvarnokazalo1">
    <w:name w:val="index 1"/>
    <w:basedOn w:val="Navaden"/>
    <w:next w:val="Navaden"/>
    <w:autoRedefine/>
    <w:semiHidden/>
    <w:rsid w:val="00C948FD"/>
    <w:pPr>
      <w:ind w:left="220" w:hanging="220"/>
    </w:pPr>
  </w:style>
  <w:style w:type="paragraph" w:styleId="Stvarnokazalo-naslov">
    <w:name w:val="index heading"/>
    <w:basedOn w:val="Navaden"/>
    <w:next w:val="Stvarnokazalo1"/>
    <w:semiHidden/>
    <w:rsid w:val="00C948FD"/>
    <w:rPr>
      <w:rFonts w:cs="Arial"/>
      <w:b/>
      <w:bCs/>
    </w:rPr>
  </w:style>
  <w:style w:type="paragraph" w:styleId="Stvarnokazalo2">
    <w:name w:val="index 2"/>
    <w:basedOn w:val="Navaden"/>
    <w:next w:val="Navaden"/>
    <w:autoRedefine/>
    <w:semiHidden/>
    <w:rsid w:val="00C948FD"/>
    <w:pPr>
      <w:ind w:left="440" w:hanging="220"/>
    </w:pPr>
  </w:style>
  <w:style w:type="paragraph" w:styleId="Stvarnokazalo3">
    <w:name w:val="index 3"/>
    <w:basedOn w:val="Navaden"/>
    <w:next w:val="Navaden"/>
    <w:autoRedefine/>
    <w:semiHidden/>
    <w:rsid w:val="00C948FD"/>
    <w:pPr>
      <w:ind w:left="660" w:hanging="220"/>
    </w:pPr>
  </w:style>
  <w:style w:type="paragraph" w:styleId="Stvarnokazalo4">
    <w:name w:val="index 4"/>
    <w:basedOn w:val="Navaden"/>
    <w:next w:val="Navaden"/>
    <w:autoRedefine/>
    <w:semiHidden/>
    <w:rsid w:val="00C948FD"/>
    <w:pPr>
      <w:ind w:left="880" w:hanging="220"/>
    </w:pPr>
  </w:style>
  <w:style w:type="paragraph" w:styleId="Stvarnokazalo5">
    <w:name w:val="index 5"/>
    <w:basedOn w:val="Navaden"/>
    <w:next w:val="Navaden"/>
    <w:autoRedefine/>
    <w:semiHidden/>
    <w:rsid w:val="00C948FD"/>
    <w:pPr>
      <w:ind w:left="1100" w:hanging="220"/>
    </w:pPr>
  </w:style>
  <w:style w:type="paragraph" w:styleId="Stvarnokazalo6">
    <w:name w:val="index 6"/>
    <w:basedOn w:val="Navaden"/>
    <w:next w:val="Navaden"/>
    <w:autoRedefine/>
    <w:semiHidden/>
    <w:rsid w:val="00C948FD"/>
    <w:pPr>
      <w:ind w:left="1320" w:hanging="220"/>
    </w:pPr>
  </w:style>
  <w:style w:type="paragraph" w:styleId="Stvarnokazalo7">
    <w:name w:val="index 7"/>
    <w:basedOn w:val="Navaden"/>
    <w:next w:val="Navaden"/>
    <w:autoRedefine/>
    <w:semiHidden/>
    <w:rsid w:val="00C948FD"/>
    <w:pPr>
      <w:ind w:left="1540" w:hanging="220"/>
    </w:pPr>
  </w:style>
  <w:style w:type="paragraph" w:styleId="Stvarnokazalo8">
    <w:name w:val="index 8"/>
    <w:basedOn w:val="Navaden"/>
    <w:next w:val="Navaden"/>
    <w:autoRedefine/>
    <w:semiHidden/>
    <w:rsid w:val="00C948FD"/>
    <w:pPr>
      <w:ind w:left="1760" w:hanging="220"/>
    </w:pPr>
  </w:style>
  <w:style w:type="paragraph" w:styleId="Stvarnokazalo9">
    <w:name w:val="index 9"/>
    <w:basedOn w:val="Navaden"/>
    <w:next w:val="Navaden"/>
    <w:autoRedefine/>
    <w:semiHidden/>
    <w:rsid w:val="00C948FD"/>
    <w:pPr>
      <w:ind w:left="1980" w:hanging="220"/>
    </w:pPr>
  </w:style>
  <w:style w:type="paragraph" w:styleId="Zgradbadokumenta">
    <w:name w:val="Document Map"/>
    <w:basedOn w:val="Navaden"/>
    <w:semiHidden/>
    <w:rsid w:val="00C948FD"/>
    <w:pPr>
      <w:shd w:val="clear" w:color="auto" w:fill="000080"/>
    </w:pPr>
    <w:rPr>
      <w:rFonts w:ascii="Tahoma" w:hAnsi="Tahoma" w:cs="Tahoma"/>
      <w:szCs w:val="20"/>
    </w:rPr>
  </w:style>
  <w:style w:type="character" w:customStyle="1" w:styleId="VodilnistavekUMAR">
    <w:name w:val="Vodilni stavek_UMAR"/>
    <w:basedOn w:val="Privzetapisavaodstavka"/>
    <w:qFormat/>
    <w:rsid w:val="00C948FD"/>
    <w:rPr>
      <w:b/>
    </w:rPr>
  </w:style>
  <w:style w:type="paragraph" w:styleId="Besedilooblaka">
    <w:name w:val="Balloon Text"/>
    <w:basedOn w:val="Navaden"/>
    <w:semiHidden/>
    <w:rsid w:val="00C948FD"/>
    <w:rPr>
      <w:rFonts w:ascii="Tahoma" w:hAnsi="Tahoma" w:cs="Tahoma"/>
      <w:sz w:val="16"/>
      <w:szCs w:val="16"/>
    </w:rPr>
  </w:style>
  <w:style w:type="character" w:customStyle="1" w:styleId="GlavaZnak">
    <w:name w:val="Glava Znak"/>
    <w:basedOn w:val="Privzetapisavaodstavka"/>
    <w:link w:val="Glava"/>
    <w:uiPriority w:val="99"/>
    <w:rsid w:val="00C948FD"/>
    <w:rPr>
      <w:rFonts w:ascii="Myriad Pro" w:eastAsiaTheme="minorHAnsi" w:hAnsi="Myriad Pro" w:cstheme="minorBidi"/>
      <w:sz w:val="22"/>
      <w:szCs w:val="22"/>
      <w:lang w:eastAsia="en-US"/>
    </w:rPr>
  </w:style>
  <w:style w:type="table" w:styleId="Tabelamrea">
    <w:name w:val="Table Grid"/>
    <w:basedOn w:val="Navadnatabela"/>
    <w:uiPriority w:val="59"/>
    <w:rsid w:val="00C948FD"/>
    <w:rPr>
      <w:rFonts w:ascii="Myriad Pro" w:eastAsia="Calibri" w:hAnsi="Myriad Pro"/>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lava">
    <w:name w:val="header"/>
    <w:basedOn w:val="Navaden"/>
    <w:link w:val="GlavaZnak"/>
    <w:uiPriority w:val="99"/>
    <w:rsid w:val="00C948FD"/>
    <w:pPr>
      <w:tabs>
        <w:tab w:val="center" w:pos="4536"/>
        <w:tab w:val="right" w:pos="9072"/>
      </w:tabs>
    </w:pPr>
    <w:rPr>
      <w:rFonts w:ascii="Myriad Pro" w:hAnsi="Myriad Pro"/>
    </w:rPr>
  </w:style>
  <w:style w:type="character" w:styleId="Hiperpovezava">
    <w:name w:val="Hyperlink"/>
    <w:basedOn w:val="BesediloUMARChar"/>
    <w:uiPriority w:val="99"/>
    <w:rsid w:val="00C948FD"/>
    <w:rPr>
      <w:rFonts w:ascii="Myriad Pro" w:eastAsiaTheme="minorHAnsi" w:hAnsi="Myriad Pro" w:cstheme="minorBidi"/>
      <w:color w:val="0000FF"/>
      <w:szCs w:val="22"/>
      <w:u w:val="single"/>
      <w:lang w:eastAsia="en-US"/>
    </w:rPr>
  </w:style>
  <w:style w:type="character" w:styleId="Poudarek">
    <w:name w:val="Emphasis"/>
    <w:aliases w:val="Italic poudarek_UMAR"/>
    <w:basedOn w:val="BesediloUMARChar"/>
    <w:qFormat/>
    <w:rsid w:val="00C948FD"/>
    <w:rPr>
      <w:rFonts w:ascii="Myriad Pro" w:eastAsiaTheme="minorHAnsi" w:hAnsi="Myriad Pro" w:cstheme="minorBidi"/>
      <w:i/>
      <w:iCs/>
      <w:szCs w:val="22"/>
      <w:lang w:eastAsia="en-US"/>
    </w:rPr>
  </w:style>
  <w:style w:type="character" w:customStyle="1" w:styleId="Naslov3Znak">
    <w:name w:val="Naslov 3 Znak"/>
    <w:aliases w:val="Heading 3_UMAR Znak"/>
    <w:basedOn w:val="Privzetapisavaodstavka"/>
    <w:link w:val="Naslov3"/>
    <w:uiPriority w:val="3"/>
    <w:rsid w:val="00C948FD"/>
    <w:rPr>
      <w:rFonts w:ascii="Myriad Pro" w:eastAsiaTheme="minorHAnsi" w:hAnsi="Myriad Pro" w:cs="Arial"/>
      <w:b/>
      <w:bCs/>
      <w:color w:val="9E001A" w:themeColor="accent1"/>
      <w:sz w:val="24"/>
      <w:szCs w:val="26"/>
      <w:lang w:eastAsia="en-US"/>
    </w:rPr>
  </w:style>
  <w:style w:type="character" w:customStyle="1" w:styleId="Naslov2Znak">
    <w:name w:val="Naslov 2 Znak"/>
    <w:aliases w:val="Heading 2_UMAR Znak"/>
    <w:basedOn w:val="Privzetapisavaodstavka"/>
    <w:link w:val="Naslov2"/>
    <w:uiPriority w:val="2"/>
    <w:rsid w:val="00C948FD"/>
    <w:rPr>
      <w:rFonts w:ascii="Myriad Pro" w:eastAsiaTheme="minorHAnsi" w:hAnsi="Myriad Pro" w:cstheme="minorBidi"/>
      <w:b/>
      <w:color w:val="9E001A" w:themeColor="accent1"/>
      <w:sz w:val="24"/>
      <w:szCs w:val="22"/>
      <w:lang w:eastAsia="en-US"/>
    </w:rPr>
  </w:style>
  <w:style w:type="character" w:customStyle="1" w:styleId="Naslov1Znak">
    <w:name w:val="Naslov 1 Znak"/>
    <w:aliases w:val="Heading 1_UMAR Znak"/>
    <w:basedOn w:val="Privzetapisavaodstavka"/>
    <w:link w:val="Naslov1"/>
    <w:uiPriority w:val="1"/>
    <w:rsid w:val="00C948FD"/>
    <w:rPr>
      <w:rFonts w:ascii="Myriad Pro" w:eastAsiaTheme="minorHAnsi" w:hAnsi="Myriad Pro" w:cs="Arial"/>
      <w:b/>
      <w:bCs/>
      <w:color w:val="9E001A" w:themeColor="accent1"/>
      <w:kern w:val="32"/>
      <w:sz w:val="28"/>
      <w:szCs w:val="22"/>
      <w:lang w:eastAsia="en-US"/>
    </w:rPr>
  </w:style>
  <w:style w:type="character" w:styleId="Besedilooznabemesta">
    <w:name w:val="Placeholder Text"/>
    <w:basedOn w:val="Privzetapisavaodstavka"/>
    <w:uiPriority w:val="99"/>
    <w:semiHidden/>
    <w:rsid w:val="00C948FD"/>
    <w:rPr>
      <w:color w:val="808080"/>
    </w:rPr>
  </w:style>
  <w:style w:type="character" w:customStyle="1" w:styleId="NogaZnak">
    <w:name w:val="Noga Znak"/>
    <w:basedOn w:val="Privzetapisavaodstavka"/>
    <w:link w:val="Noga"/>
    <w:uiPriority w:val="99"/>
    <w:rsid w:val="00C948FD"/>
    <w:rPr>
      <w:rFonts w:ascii="Myriad Pro" w:eastAsiaTheme="minorHAnsi" w:hAnsi="Myriad Pro" w:cstheme="minorBidi"/>
      <w:noProof/>
      <w:sz w:val="16"/>
      <w:szCs w:val="16"/>
      <w:lang w:eastAsia="en-US"/>
    </w:rPr>
  </w:style>
  <w:style w:type="paragraph" w:customStyle="1" w:styleId="BesediloUMAR">
    <w:name w:val="Besedilo_UMAR"/>
    <w:link w:val="BesediloUMARChar"/>
    <w:qFormat/>
    <w:rsid w:val="00C948FD"/>
    <w:pPr>
      <w:spacing w:line="288" w:lineRule="auto"/>
      <w:jc w:val="both"/>
    </w:pPr>
    <w:rPr>
      <w:rFonts w:ascii="Myriad Pro" w:eastAsiaTheme="minorHAnsi" w:hAnsi="Myriad Pro" w:cstheme="minorBidi"/>
      <w:szCs w:val="22"/>
      <w:lang w:eastAsia="en-US"/>
    </w:rPr>
  </w:style>
  <w:style w:type="character" w:customStyle="1" w:styleId="BesediloUMARChar">
    <w:name w:val="Besedilo_UMAR Char"/>
    <w:basedOn w:val="Privzetapisavaodstavka"/>
    <w:link w:val="BesediloUMAR"/>
    <w:rsid w:val="00C948FD"/>
    <w:rPr>
      <w:rFonts w:ascii="Myriad Pro" w:eastAsiaTheme="minorHAnsi" w:hAnsi="Myriad Pro" w:cstheme="minorBidi"/>
      <w:szCs w:val="22"/>
      <w:lang w:eastAsia="en-US"/>
    </w:rPr>
  </w:style>
  <w:style w:type="paragraph" w:customStyle="1" w:styleId="VirUMAR">
    <w:name w:val="Vir_UMAR"/>
    <w:basedOn w:val="BesediloUMAR"/>
    <w:link w:val="VirUMARChar"/>
    <w:uiPriority w:val="6"/>
    <w:qFormat/>
    <w:rsid w:val="00C948FD"/>
    <w:pPr>
      <w:spacing w:before="40" w:line="240" w:lineRule="auto"/>
    </w:pPr>
    <w:rPr>
      <w:sz w:val="16"/>
    </w:rPr>
  </w:style>
  <w:style w:type="character" w:customStyle="1" w:styleId="VirUMARChar">
    <w:name w:val="Vir_UMAR Char"/>
    <w:basedOn w:val="Privzetapisavaodstavka"/>
    <w:link w:val="VirUMAR"/>
    <w:uiPriority w:val="6"/>
    <w:rsid w:val="00C948FD"/>
    <w:rPr>
      <w:rFonts w:ascii="Myriad Pro" w:eastAsiaTheme="minorHAnsi" w:hAnsi="Myriad Pro" w:cstheme="minorBidi"/>
      <w:sz w:val="16"/>
      <w:szCs w:val="22"/>
      <w:lang w:eastAsia="en-US"/>
    </w:rPr>
  </w:style>
  <w:style w:type="character" w:customStyle="1" w:styleId="NapisZnak">
    <w:name w:val="Napis Znak"/>
    <w:aliases w:val="Okvir/Slika/Tabela_UMAR Znak,DZ_Okvir_Slika_Tabela_Zemljevid Znak"/>
    <w:basedOn w:val="Privzetapisavaodstavka"/>
    <w:link w:val="Napis"/>
    <w:uiPriority w:val="4"/>
    <w:rsid w:val="00C948FD"/>
    <w:rPr>
      <w:rFonts w:ascii="Myriad Pro" w:eastAsiaTheme="minorHAnsi" w:hAnsi="Myriad Pro" w:cstheme="minorBidi"/>
      <w:b/>
      <w:bCs/>
      <w:noProof/>
      <w:lang w:eastAsia="en-US"/>
    </w:rPr>
  </w:style>
  <w:style w:type="paragraph" w:customStyle="1" w:styleId="TabelaglavadesnoUMAR">
    <w:name w:val="Tabela glava desno_UMAR"/>
    <w:link w:val="TabelaglavadesnoUMARChar"/>
    <w:uiPriority w:val="5"/>
    <w:qFormat/>
    <w:rsid w:val="00C948FD"/>
    <w:pPr>
      <w:spacing w:before="10" w:after="10" w:line="220" w:lineRule="atLeast"/>
      <w:jc w:val="right"/>
    </w:pPr>
    <w:rPr>
      <w:rFonts w:ascii="Myriad Pro" w:eastAsiaTheme="minorHAnsi" w:hAnsi="Myriad Pro" w:cs="Calibri"/>
      <w:b/>
      <w:bCs/>
      <w:sz w:val="18"/>
      <w:szCs w:val="18"/>
      <w:lang w:eastAsia="en-US"/>
    </w:rPr>
  </w:style>
  <w:style w:type="character" w:customStyle="1" w:styleId="TabelaglavadesnoUMARChar">
    <w:name w:val="Tabela glava desno_UMAR Char"/>
    <w:basedOn w:val="Privzetapisavaodstavka"/>
    <w:link w:val="TabelaglavadesnoUMAR"/>
    <w:uiPriority w:val="5"/>
    <w:rsid w:val="00C948FD"/>
    <w:rPr>
      <w:rFonts w:ascii="Myriad Pro" w:eastAsiaTheme="minorHAnsi" w:hAnsi="Myriad Pro" w:cs="Calibri"/>
      <w:b/>
      <w:bCs/>
      <w:sz w:val="18"/>
      <w:szCs w:val="18"/>
      <w:lang w:eastAsia="en-US"/>
    </w:rPr>
  </w:style>
  <w:style w:type="paragraph" w:customStyle="1" w:styleId="TabelaglavalevoUMAR">
    <w:name w:val="Tabela glava levo_UMAR"/>
    <w:basedOn w:val="TabelaglavadesnoUMAR"/>
    <w:link w:val="TabelaglavalevoUMARChar"/>
    <w:uiPriority w:val="5"/>
    <w:qFormat/>
    <w:rsid w:val="00C948FD"/>
    <w:pPr>
      <w:jc w:val="left"/>
    </w:pPr>
  </w:style>
  <w:style w:type="paragraph" w:customStyle="1" w:styleId="TabelalevoUMAR">
    <w:name w:val="Tabela levo_UMAR"/>
    <w:basedOn w:val="TabelaglavalevoUMAR"/>
    <w:link w:val="TabelalevoUMARChar"/>
    <w:uiPriority w:val="5"/>
    <w:qFormat/>
    <w:rsid w:val="00C948FD"/>
    <w:rPr>
      <w:b w:val="0"/>
    </w:rPr>
  </w:style>
  <w:style w:type="character" w:customStyle="1" w:styleId="TabelaglavalevoUMARChar">
    <w:name w:val="Tabela glava levo_UMAR Char"/>
    <w:basedOn w:val="TabelaglavadesnoUMARChar"/>
    <w:link w:val="TabelaglavalevoUMAR"/>
    <w:uiPriority w:val="5"/>
    <w:rsid w:val="00C948FD"/>
    <w:rPr>
      <w:rFonts w:ascii="Myriad Pro" w:eastAsiaTheme="minorHAnsi" w:hAnsi="Myriad Pro" w:cs="Calibri"/>
      <w:b/>
      <w:bCs/>
      <w:sz w:val="18"/>
      <w:szCs w:val="18"/>
      <w:lang w:eastAsia="en-US"/>
    </w:rPr>
  </w:style>
  <w:style w:type="paragraph" w:customStyle="1" w:styleId="TabeladesnoUMAR">
    <w:name w:val="Tabela desno_UMAR"/>
    <w:basedOn w:val="TabelaglavadesnoUMAR"/>
    <w:link w:val="TabeladesnoUMARChar"/>
    <w:uiPriority w:val="5"/>
    <w:qFormat/>
    <w:rsid w:val="00C948FD"/>
    <w:rPr>
      <w:b w:val="0"/>
    </w:rPr>
  </w:style>
  <w:style w:type="character" w:customStyle="1" w:styleId="TabelalevoUMARChar">
    <w:name w:val="Tabela levo_UMAR Char"/>
    <w:basedOn w:val="TabelaglavalevoUMARChar"/>
    <w:link w:val="TabelalevoUMAR"/>
    <w:uiPriority w:val="5"/>
    <w:rsid w:val="00C948FD"/>
    <w:rPr>
      <w:rFonts w:ascii="Myriad Pro" w:eastAsiaTheme="minorHAnsi" w:hAnsi="Myriad Pro" w:cs="Calibri"/>
      <w:b w:val="0"/>
      <w:bCs/>
      <w:sz w:val="18"/>
      <w:szCs w:val="18"/>
      <w:lang w:eastAsia="en-US"/>
    </w:rPr>
  </w:style>
  <w:style w:type="character" w:customStyle="1" w:styleId="TabeladesnoUMARChar">
    <w:name w:val="Tabela desno_UMAR Char"/>
    <w:basedOn w:val="TabelaglavadesnoUMARChar"/>
    <w:link w:val="TabeladesnoUMAR"/>
    <w:uiPriority w:val="5"/>
    <w:rsid w:val="00C948FD"/>
    <w:rPr>
      <w:rFonts w:ascii="Myriad Pro" w:eastAsiaTheme="minorHAnsi" w:hAnsi="Myriad Pro" w:cs="Calibri"/>
      <w:b w:val="0"/>
      <w:bCs/>
      <w:sz w:val="18"/>
      <w:szCs w:val="18"/>
      <w:lang w:eastAsia="en-US"/>
    </w:rPr>
  </w:style>
  <w:style w:type="character" w:customStyle="1" w:styleId="BoldpoudarekUMAR">
    <w:name w:val="Bold poudarek_UMAR"/>
    <w:basedOn w:val="BesediloUMARChar"/>
    <w:qFormat/>
    <w:rsid w:val="00C948FD"/>
    <w:rPr>
      <w:rFonts w:ascii="Myriad Pro" w:eastAsiaTheme="minorHAnsi" w:hAnsi="Myriad Pro" w:cstheme="minorBidi"/>
      <w:b/>
      <w:szCs w:val="22"/>
      <w:lang w:eastAsia="en-US"/>
    </w:rPr>
  </w:style>
  <w:style w:type="paragraph" w:customStyle="1" w:styleId="NaslovnicanaslovUMAR">
    <w:name w:val="Naslovnica_naslov_UMAR"/>
    <w:basedOn w:val="BesediloUMAR"/>
    <w:link w:val="NaslovnicanaslovUMARChar"/>
    <w:uiPriority w:val="3"/>
    <w:qFormat/>
    <w:rsid w:val="00C948FD"/>
    <w:pPr>
      <w:spacing w:line="760" w:lineRule="exact"/>
    </w:pPr>
    <w:rPr>
      <w:color w:val="000000" w:themeColor="text1"/>
      <w:sz w:val="76"/>
    </w:rPr>
  </w:style>
  <w:style w:type="character" w:customStyle="1" w:styleId="NaslovnicanaslovUMARChar">
    <w:name w:val="Naslovnica_naslov_UMAR Char"/>
    <w:basedOn w:val="Privzetapisavaodstavka"/>
    <w:link w:val="NaslovnicanaslovUMAR"/>
    <w:uiPriority w:val="3"/>
    <w:rsid w:val="00C948FD"/>
    <w:rPr>
      <w:rFonts w:ascii="Myriad Pro" w:eastAsiaTheme="minorHAnsi" w:hAnsi="Myriad Pro" w:cstheme="minorBidi"/>
      <w:color w:val="000000" w:themeColor="text1"/>
      <w:sz w:val="76"/>
      <w:szCs w:val="22"/>
      <w:lang w:eastAsia="en-US"/>
    </w:rPr>
  </w:style>
  <w:style w:type="table" w:styleId="Tabelasvetlamrea">
    <w:name w:val="Grid Table Light"/>
    <w:aliases w:val="UMAR tabela"/>
    <w:basedOn w:val="Navadnatabela"/>
    <w:uiPriority w:val="40"/>
    <w:rsid w:val="00C948FD"/>
    <w:rPr>
      <w:rFonts w:ascii="Myriad Pro" w:hAnsi="Myriad Pro"/>
      <w:sz w:val="18"/>
    </w:rPr>
    <w:tblPr>
      <w:tblStyleRowBandSize w:val="1"/>
      <w:tblStyleColBandSize w:val="1"/>
      <w:tblBorders>
        <w:top w:val="single" w:sz="4" w:space="0" w:color="auto"/>
        <w:bottom w:val="single" w:sz="4" w:space="0" w:color="auto"/>
        <w:insideH w:val="single" w:sz="4" w:space="0" w:color="auto"/>
        <w:insideV w:val="single" w:sz="4" w:space="0" w:color="auto"/>
      </w:tblBorders>
      <w:tblCellMar>
        <w:left w:w="57" w:type="dxa"/>
        <w:right w:w="57" w:type="dxa"/>
      </w:tblCellMar>
    </w:tblPr>
    <w:tcPr>
      <w:vAlign w:val="center"/>
    </w:tcPr>
    <w:tblStylePr w:type="firstRow">
      <w:pPr>
        <w:jc w:val="right"/>
      </w:pPr>
      <w:rPr>
        <w:b w:val="0"/>
      </w:rPr>
      <w:tblPr/>
      <w:tcPr>
        <w:shd w:val="clear" w:color="auto" w:fill="DBDBDB" w:themeFill="background2"/>
      </w:tcPr>
    </w:tblStylePr>
    <w:tblStylePr w:type="firstCol">
      <w:pPr>
        <w:jc w:val="left"/>
      </w:pPr>
    </w:tblStylePr>
    <w:tblStylePr w:type="lastCol">
      <w:pPr>
        <w:jc w:val="right"/>
      </w:pPr>
    </w:tblStylePr>
    <w:tblStylePr w:type="band1Vert">
      <w:pPr>
        <w:jc w:val="right"/>
      </w:pPr>
    </w:tblStylePr>
    <w:tblStylePr w:type="band2Vert">
      <w:pPr>
        <w:jc w:val="right"/>
      </w:pPr>
    </w:tblStylePr>
  </w:style>
  <w:style w:type="table" w:styleId="Navadnatabela1">
    <w:name w:val="Plain Table 1"/>
    <w:basedOn w:val="Navadnatabela"/>
    <w:uiPriority w:val="41"/>
    <w:rsid w:val="00C948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C948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C948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C948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5">
    <w:name w:val="Plain Table 5"/>
    <w:basedOn w:val="Navadnatabela"/>
    <w:uiPriority w:val="45"/>
    <w:rsid w:val="00C948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
    <w:name w:val="Grid Table 1 Light"/>
    <w:basedOn w:val="Navadnatabela"/>
    <w:uiPriority w:val="46"/>
    <w:rsid w:val="00C948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zija">
    <w:name w:val="Revision"/>
    <w:hidden/>
    <w:uiPriority w:val="99"/>
    <w:semiHidden/>
    <w:rsid w:val="00C948FD"/>
    <w:rPr>
      <w:rFonts w:asciiTheme="minorHAnsi" w:eastAsiaTheme="minorHAnsi" w:hAnsiTheme="minorHAnsi" w:cstheme="minorBidi"/>
      <w:sz w:val="22"/>
      <w:szCs w:val="22"/>
      <w:lang w:eastAsia="en-US"/>
    </w:rPr>
  </w:style>
  <w:style w:type="paragraph" w:styleId="Zadevapripombe">
    <w:name w:val="annotation subject"/>
    <w:basedOn w:val="Pripombabesedilo"/>
    <w:next w:val="Pripombabesedilo"/>
    <w:link w:val="ZadevapripombeZnak"/>
    <w:semiHidden/>
    <w:unhideWhenUsed/>
    <w:rsid w:val="00C948FD"/>
    <w:pPr>
      <w:spacing w:line="240" w:lineRule="auto"/>
    </w:pPr>
    <w:rPr>
      <w:b/>
      <w:bCs/>
    </w:rPr>
  </w:style>
  <w:style w:type="character" w:customStyle="1" w:styleId="PripombabesediloZnak">
    <w:name w:val="Pripomba – besedilo Znak"/>
    <w:basedOn w:val="Privzetapisavaodstavka"/>
    <w:link w:val="Pripombabesedilo"/>
    <w:semiHidden/>
    <w:rsid w:val="00C948FD"/>
    <w:rPr>
      <w:rFonts w:asciiTheme="minorHAnsi" w:eastAsiaTheme="minorHAnsi" w:hAnsiTheme="minorHAnsi" w:cstheme="minorBidi"/>
      <w:sz w:val="22"/>
      <w:lang w:eastAsia="en-US"/>
    </w:rPr>
  </w:style>
  <w:style w:type="character" w:customStyle="1" w:styleId="ZadevapripombeZnak">
    <w:name w:val="Zadeva pripombe Znak"/>
    <w:basedOn w:val="PripombabesediloZnak"/>
    <w:link w:val="Zadevapripombe"/>
    <w:semiHidden/>
    <w:rsid w:val="00C948FD"/>
    <w:rPr>
      <w:rFonts w:asciiTheme="minorHAnsi" w:eastAsiaTheme="minorHAnsi" w:hAnsiTheme="minorHAnsi" w:cstheme="minorBidi"/>
      <w:b/>
      <w:bCs/>
      <w:sz w:val="22"/>
      <w:lang w:eastAsia="en-US"/>
    </w:rPr>
  </w:style>
  <w:style w:type="table" w:customStyle="1" w:styleId="UMARokvir">
    <w:name w:val="UMAR okvir"/>
    <w:basedOn w:val="Navadnatabela"/>
    <w:uiPriority w:val="99"/>
    <w:rsid w:val="00C948FD"/>
    <w:rPr>
      <w:rFonts w:ascii="Myriad Pro" w:hAnsi="Myriad Pro"/>
    </w:rPr>
    <w:tblPr>
      <w:tblCellMar>
        <w:left w:w="227" w:type="dxa"/>
        <w:right w:w="227" w:type="dxa"/>
      </w:tblCellMar>
    </w:tblPr>
    <w:tcPr>
      <w:shd w:val="clear" w:color="auto" w:fill="DBDBDB" w:themeFill="background2"/>
      <w:tcMar>
        <w:top w:w="170" w:type="dxa"/>
        <w:left w:w="170" w:type="dxa"/>
        <w:bottom w:w="170" w:type="dxa"/>
        <w:right w:w="170" w:type="dxa"/>
      </w:tcMar>
    </w:tcPr>
  </w:style>
  <w:style w:type="table" w:customStyle="1" w:styleId="UMARenaba">
    <w:name w:val="UMAR enačba"/>
    <w:basedOn w:val="Navadnatabela"/>
    <w:uiPriority w:val="99"/>
    <w:rsid w:val="00C948FD"/>
    <w:pPr>
      <w:jc w:val="center"/>
    </w:pPr>
    <w:rPr>
      <w:rFonts w:ascii="Myriad Pro" w:hAnsi="Myriad Pro"/>
    </w:rPr>
    <w:tblPr/>
    <w:tcPr>
      <w:vAlign w:val="center"/>
    </w:tcPr>
    <w:tblStylePr w:type="lastCol">
      <w:pPr>
        <w:jc w:val="right"/>
      </w:pPr>
    </w:tblStylePr>
  </w:style>
  <w:style w:type="paragraph" w:styleId="NaslovTOC">
    <w:name w:val="TOC Heading"/>
    <w:basedOn w:val="Naslov1"/>
    <w:next w:val="Navaden"/>
    <w:uiPriority w:val="39"/>
    <w:unhideWhenUsed/>
    <w:qFormat/>
    <w:rsid w:val="00C948FD"/>
    <w:pPr>
      <w:numPr>
        <w:numId w:val="0"/>
      </w:numPr>
      <w:spacing w:before="0" w:line="259" w:lineRule="auto"/>
      <w:outlineLvl w:val="9"/>
    </w:pPr>
    <w:rPr>
      <w:rFonts w:eastAsiaTheme="majorEastAsia" w:cstheme="majorBidi"/>
      <w:bCs w:val="0"/>
      <w:color w:val="760013" w:themeColor="accent1" w:themeShade="BF"/>
      <w:kern w:val="0"/>
      <w:szCs w:val="32"/>
      <w:lang w:val="en-US"/>
    </w:rPr>
  </w:style>
  <w:style w:type="paragraph" w:styleId="Odstavekseznama">
    <w:name w:val="List Paragraph"/>
    <w:basedOn w:val="Navaden"/>
    <w:uiPriority w:val="34"/>
    <w:rsid w:val="00C948FD"/>
    <w:pPr>
      <w:ind w:left="720"/>
      <w:contextualSpacing/>
    </w:pPr>
    <w:rPr>
      <w:rFonts w:ascii="Myriad Pro" w:hAnsi="Myriad Pro"/>
    </w:rPr>
  </w:style>
  <w:style w:type="paragraph" w:customStyle="1" w:styleId="LiteraturaUMAR">
    <w:name w:val="Literatura_UMAR"/>
    <w:basedOn w:val="BesediloUMAR"/>
    <w:link w:val="LiteraturaUMARChar"/>
    <w:uiPriority w:val="7"/>
    <w:qFormat/>
    <w:rsid w:val="00C948FD"/>
    <w:pPr>
      <w:spacing w:before="80"/>
      <w:ind w:left="340" w:hanging="340"/>
      <w:jc w:val="left"/>
    </w:pPr>
  </w:style>
  <w:style w:type="character" w:customStyle="1" w:styleId="LiteraturaUMARChar">
    <w:name w:val="Literatura_UMAR Char"/>
    <w:basedOn w:val="BesediloUMARChar"/>
    <w:link w:val="LiteraturaUMAR"/>
    <w:uiPriority w:val="7"/>
    <w:rsid w:val="00C948FD"/>
    <w:rPr>
      <w:rFonts w:ascii="Myriad Pro" w:eastAsiaTheme="minorHAnsi" w:hAnsi="Myriad Pro" w:cstheme="minorBidi"/>
      <w:szCs w:val="22"/>
      <w:lang w:eastAsia="en-US"/>
    </w:rPr>
  </w:style>
  <w:style w:type="paragraph" w:customStyle="1" w:styleId="DZBesedilo">
    <w:name w:val="DZ_Besedilo"/>
    <w:link w:val="DZBesediloChar"/>
    <w:qFormat/>
    <w:rsid w:val="00127982"/>
    <w:pPr>
      <w:spacing w:line="288" w:lineRule="auto"/>
      <w:jc w:val="both"/>
    </w:pPr>
    <w:rPr>
      <w:rFonts w:ascii="Myriad Pro" w:eastAsiaTheme="minorHAnsi" w:hAnsi="Myriad Pro" w:cstheme="minorBidi"/>
      <w:szCs w:val="22"/>
      <w:lang w:eastAsia="en-US"/>
    </w:rPr>
  </w:style>
  <w:style w:type="character" w:customStyle="1" w:styleId="DZBesediloChar">
    <w:name w:val="DZ_Besedilo Char"/>
    <w:basedOn w:val="Privzetapisavaodstavka"/>
    <w:link w:val="DZBesedilo"/>
    <w:rsid w:val="00127982"/>
    <w:rPr>
      <w:rFonts w:ascii="Myriad Pro" w:eastAsiaTheme="minorHAnsi" w:hAnsi="Myriad Pro" w:cstheme="minorBidi"/>
      <w:szCs w:val="22"/>
      <w:lang w:eastAsia="en-US"/>
    </w:rPr>
  </w:style>
  <w:style w:type="table" w:customStyle="1" w:styleId="UMARokvir1">
    <w:name w:val="UMAR okvir1"/>
    <w:basedOn w:val="Navadnatabela"/>
    <w:uiPriority w:val="99"/>
    <w:rsid w:val="00127982"/>
    <w:rPr>
      <w:rFonts w:ascii="Myriad Pro" w:hAnsi="Myriad Pro"/>
    </w:rPr>
    <w:tblPr>
      <w:tblBorders>
        <w:top w:val="single" w:sz="4" w:space="0" w:color="auto"/>
        <w:left w:val="single" w:sz="4" w:space="0" w:color="auto"/>
        <w:bottom w:val="single" w:sz="4" w:space="0" w:color="auto"/>
        <w:right w:val="single" w:sz="4" w:space="0" w:color="auto"/>
      </w:tblBorders>
      <w:tblCellMar>
        <w:left w:w="227" w:type="dxa"/>
        <w:right w:w="227" w:type="dxa"/>
      </w:tblCellMar>
    </w:tblPr>
    <w:tcPr>
      <w:shd w:val="clear" w:color="auto" w:fill="DBDBDB" w:themeFill="background2"/>
    </w:tcPr>
  </w:style>
  <w:style w:type="table" w:customStyle="1" w:styleId="UMARokvir11">
    <w:name w:val="UMAR okvir11"/>
    <w:basedOn w:val="Navadnatabela"/>
    <w:uiPriority w:val="99"/>
    <w:rsid w:val="00127982"/>
    <w:rPr>
      <w:rFonts w:ascii="Myriad Pro" w:hAnsi="Myriad Pro"/>
    </w:rPr>
    <w:tblPr>
      <w:tblBorders>
        <w:top w:val="single" w:sz="4" w:space="0" w:color="auto"/>
        <w:left w:val="single" w:sz="4" w:space="0" w:color="auto"/>
        <w:bottom w:val="single" w:sz="4" w:space="0" w:color="auto"/>
        <w:right w:val="single" w:sz="4" w:space="0" w:color="auto"/>
      </w:tblBorders>
      <w:tblCellMar>
        <w:left w:w="170" w:type="dxa"/>
        <w:right w:w="170" w:type="dxa"/>
      </w:tblCellMar>
    </w:tblPr>
    <w:tcPr>
      <w:shd w:val="clear" w:color="auto" w:fill="DBDBDB" w:themeFill="background2"/>
    </w:tcPr>
  </w:style>
  <w:style w:type="paragraph" w:styleId="Bibliografija">
    <w:name w:val="Bibliography"/>
    <w:basedOn w:val="Navaden"/>
    <w:next w:val="Navaden"/>
    <w:uiPriority w:val="37"/>
    <w:unhideWhenUsed/>
    <w:rsid w:val="00127982"/>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55789">
      <w:bodyDiv w:val="1"/>
      <w:marLeft w:val="0"/>
      <w:marRight w:val="0"/>
      <w:marTop w:val="0"/>
      <w:marBottom w:val="0"/>
      <w:divBdr>
        <w:top w:val="none" w:sz="0" w:space="0" w:color="auto"/>
        <w:left w:val="none" w:sz="0" w:space="0" w:color="auto"/>
        <w:bottom w:val="none" w:sz="0" w:space="0" w:color="auto"/>
        <w:right w:val="none" w:sz="0" w:space="0" w:color="auto"/>
      </w:divBdr>
    </w:div>
    <w:div w:id="883758017">
      <w:bodyDiv w:val="1"/>
      <w:marLeft w:val="0"/>
      <w:marRight w:val="0"/>
      <w:marTop w:val="0"/>
      <w:marBottom w:val="0"/>
      <w:divBdr>
        <w:top w:val="none" w:sz="0" w:space="0" w:color="auto"/>
        <w:left w:val="none" w:sz="0" w:space="0" w:color="auto"/>
        <w:bottom w:val="none" w:sz="0" w:space="0" w:color="auto"/>
        <w:right w:val="none" w:sz="0" w:space="0" w:color="auto"/>
      </w:divBdr>
    </w:div>
    <w:div w:id="969093302">
      <w:bodyDiv w:val="1"/>
      <w:marLeft w:val="0"/>
      <w:marRight w:val="0"/>
      <w:marTop w:val="0"/>
      <w:marBottom w:val="0"/>
      <w:divBdr>
        <w:top w:val="none" w:sz="0" w:space="0" w:color="auto"/>
        <w:left w:val="none" w:sz="0" w:space="0" w:color="auto"/>
        <w:bottom w:val="none" w:sz="0" w:space="0" w:color="auto"/>
        <w:right w:val="none" w:sz="0" w:space="0" w:color="auto"/>
      </w:divBdr>
    </w:div>
    <w:div w:id="1031109431">
      <w:bodyDiv w:val="1"/>
      <w:marLeft w:val="0"/>
      <w:marRight w:val="0"/>
      <w:marTop w:val="0"/>
      <w:marBottom w:val="0"/>
      <w:divBdr>
        <w:top w:val="none" w:sz="0" w:space="0" w:color="auto"/>
        <w:left w:val="none" w:sz="0" w:space="0" w:color="auto"/>
        <w:bottom w:val="none" w:sz="0" w:space="0" w:color="auto"/>
        <w:right w:val="none" w:sz="0" w:space="0" w:color="auto"/>
      </w:divBdr>
      <w:divsChild>
        <w:div w:id="1237864819">
          <w:marLeft w:val="0"/>
          <w:marRight w:val="0"/>
          <w:marTop w:val="0"/>
          <w:marBottom w:val="0"/>
          <w:divBdr>
            <w:top w:val="none" w:sz="0" w:space="0" w:color="auto"/>
            <w:left w:val="none" w:sz="0" w:space="0" w:color="auto"/>
            <w:bottom w:val="none" w:sz="0" w:space="0" w:color="auto"/>
            <w:right w:val="none" w:sz="0" w:space="0" w:color="auto"/>
          </w:divBdr>
        </w:div>
      </w:divsChild>
    </w:div>
    <w:div w:id="150038754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99">
          <w:marLeft w:val="0"/>
          <w:marRight w:val="0"/>
          <w:marTop w:val="0"/>
          <w:marBottom w:val="0"/>
          <w:divBdr>
            <w:top w:val="none" w:sz="0" w:space="0" w:color="auto"/>
            <w:left w:val="none" w:sz="0" w:space="0" w:color="auto"/>
            <w:bottom w:val="none" w:sz="0" w:space="0" w:color="auto"/>
            <w:right w:val="none" w:sz="0" w:space="0" w:color="auto"/>
          </w:divBdr>
        </w:div>
      </w:divsChild>
    </w:div>
    <w:div w:id="17546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header" Target="head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UMAR tema">
  <a:themeElements>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79B0F-063E-4972-AC6F-C1C69053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5298</Words>
  <Characters>45255</Characters>
  <Application>Microsoft Office Word</Application>
  <DocSecurity>0</DocSecurity>
  <Lines>377</Lines>
  <Paragraphs>100</Paragraphs>
  <ScaleCrop>false</ScaleCrop>
  <Company/>
  <LinksUpToDate>false</LinksUpToDate>
  <CharactersWithSpaces>50453</CharactersWithSpaces>
  <SharedDoc>false</SharedDoc>
  <HLinks>
    <vt:vector size="18" baseType="variant">
      <vt:variant>
        <vt:i4>2031671</vt:i4>
      </vt:variant>
      <vt:variant>
        <vt:i4>47</vt:i4>
      </vt:variant>
      <vt:variant>
        <vt:i4>0</vt:i4>
      </vt:variant>
      <vt:variant>
        <vt:i4>5</vt:i4>
      </vt:variant>
      <vt:variant>
        <vt:lpwstr/>
      </vt:variant>
      <vt:variant>
        <vt:lpwstr>_Toc164759707</vt:lpwstr>
      </vt:variant>
      <vt:variant>
        <vt:i4>2031671</vt:i4>
      </vt:variant>
      <vt:variant>
        <vt:i4>38</vt:i4>
      </vt:variant>
      <vt:variant>
        <vt:i4>0</vt:i4>
      </vt:variant>
      <vt:variant>
        <vt:i4>5</vt:i4>
      </vt:variant>
      <vt:variant>
        <vt:lpwstr/>
      </vt:variant>
      <vt:variant>
        <vt:lpwstr>_Toc164759700</vt:lpwstr>
      </vt:variant>
      <vt:variant>
        <vt:i4>1441846</vt:i4>
      </vt:variant>
      <vt:variant>
        <vt:i4>29</vt:i4>
      </vt:variant>
      <vt:variant>
        <vt:i4>0</vt:i4>
      </vt:variant>
      <vt:variant>
        <vt:i4>5</vt:i4>
      </vt:variant>
      <vt:variant>
        <vt:lpwstr/>
      </vt:variant>
      <vt:variant>
        <vt:lpwstr>_Toc164759693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2024-08-06T09:12:00Z</dcterms:created>
  <dcterms:modified xsi:type="dcterms:W3CDTF">2024-08-07T07:57:00Z</dcterms:modified>
</cp:coreProperties>
</file>