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827A61" w14:textId="77777777" w:rsidR="001D6793" w:rsidRPr="00DE72F6" w:rsidRDefault="001D6793" w:rsidP="001D6793">
      <w:pPr>
        <w:pStyle w:val="Naslov11"/>
      </w:pPr>
      <w:bookmarkStart w:id="0" w:name="_GoBack"/>
      <w:bookmarkEnd w:id="0"/>
      <w:r>
        <w:t>CURRENT ECONOMIC TRENDS</w:t>
      </w:r>
    </w:p>
    <w:p w14:paraId="24CF31FF" w14:textId="14E4B140" w:rsidR="007442DA" w:rsidRDefault="007442DA" w:rsidP="007442DA">
      <w:pPr>
        <w:pStyle w:val="Naslov21"/>
      </w:pPr>
      <w:r>
        <w:t>25–29 October 2021</w:t>
      </w:r>
    </w:p>
    <w:p w14:paraId="01E93F83" w14:textId="77777777" w:rsidR="00C72A04" w:rsidRDefault="00C72A04" w:rsidP="00C72A04"/>
    <w:p w14:paraId="58156434" w14:textId="436EC2FE" w:rsidR="00F27734" w:rsidRPr="0025489B" w:rsidRDefault="00F27734" w:rsidP="00F27734">
      <w:pPr>
        <w:tabs>
          <w:tab w:val="left" w:pos="580"/>
        </w:tabs>
        <w:rPr>
          <w:rFonts w:eastAsia="Myriad Pro" w:cs="Myriad Pro"/>
        </w:rPr>
      </w:pPr>
      <w:r>
        <w:t xml:space="preserve">Consumer price inflation increased significantly year-on-year in October, mainly due to higher prices of petroleum products and heat energy. Prices of durable goods are also rising. Turnover in trade increased in August. In most sectors, turnover in the first eight months of the year combined was higher than in the same period of 2019. Turnover in market services also increased in August, with the strongest growth in information and communication services, while turnover in accommodation and food service activities has </w:t>
      </w:r>
      <w:r w:rsidR="004A336F">
        <w:t>been</w:t>
      </w:r>
      <w:r>
        <w:t xml:space="preserve"> </w:t>
      </w:r>
      <w:r w:rsidR="004A336F" w:rsidRPr="004A336F">
        <w:t>rising strongly for several months</w:t>
      </w:r>
      <w:r>
        <w:t xml:space="preserve">. </w:t>
      </w:r>
    </w:p>
    <w:p w14:paraId="734A63BD" w14:textId="77777777" w:rsidR="007442DA" w:rsidRDefault="007442DA" w:rsidP="007442DA">
      <w:pPr>
        <w:tabs>
          <w:tab w:val="left" w:pos="580"/>
        </w:tabs>
        <w:rPr>
          <w:rFonts w:eastAsia="Myriad Pro" w:cs="Myriad Pro"/>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7442DA" w:rsidRPr="007A0B59" w14:paraId="20E7C138" w14:textId="77777777" w:rsidTr="001D080E">
        <w:trPr>
          <w:trHeight w:val="207"/>
        </w:trPr>
        <w:tc>
          <w:tcPr>
            <w:tcW w:w="4819" w:type="dxa"/>
            <w:tcBorders>
              <w:bottom w:val="single" w:sz="4" w:space="0" w:color="auto"/>
            </w:tcBorders>
            <w:tcMar>
              <w:left w:w="0" w:type="dxa"/>
            </w:tcMar>
          </w:tcPr>
          <w:p w14:paraId="07E14273" w14:textId="06A32172" w:rsidR="007442DA" w:rsidRPr="007A0B59" w:rsidRDefault="007442DA" w:rsidP="001D080E">
            <w:pPr>
              <w:pStyle w:val="Naslov31"/>
              <w:jc w:val="left"/>
            </w:pPr>
            <w:r>
              <w:t>Consumer prices, October 2021</w:t>
            </w:r>
          </w:p>
        </w:tc>
        <w:tc>
          <w:tcPr>
            <w:tcW w:w="4820" w:type="dxa"/>
            <w:gridSpan w:val="2"/>
            <w:tcBorders>
              <w:bottom w:val="single" w:sz="4" w:space="0" w:color="auto"/>
            </w:tcBorders>
          </w:tcPr>
          <w:p w14:paraId="67BEE1C2" w14:textId="77777777" w:rsidR="007442DA" w:rsidRPr="007A0B59" w:rsidRDefault="007442DA" w:rsidP="001D080E">
            <w:pPr>
              <w:pStyle w:val="Naslov31"/>
            </w:pPr>
          </w:p>
        </w:tc>
      </w:tr>
      <w:tr w:rsidR="007442DA" w:rsidRPr="00DF4F0B" w14:paraId="5FA17F89" w14:textId="77777777" w:rsidTr="001D080E">
        <w:trPr>
          <w:trHeight w:val="1134"/>
        </w:trPr>
        <w:tc>
          <w:tcPr>
            <w:tcW w:w="4982" w:type="dxa"/>
            <w:gridSpan w:val="2"/>
            <w:tcBorders>
              <w:top w:val="single" w:sz="4" w:space="0" w:color="auto"/>
            </w:tcBorders>
            <w:tcMar>
              <w:left w:w="0" w:type="dxa"/>
            </w:tcMar>
          </w:tcPr>
          <w:p w14:paraId="75EC50D7" w14:textId="19C82D57" w:rsidR="007442DA" w:rsidRDefault="008D2AFA" w:rsidP="001D080E">
            <w:pPr>
              <w:pStyle w:val="ListParagraph"/>
              <w:ind w:left="0"/>
            </w:pPr>
            <w:r>
              <w:rPr>
                <w:noProof/>
                <w:lang w:val="sl-SI" w:eastAsia="sl-SI"/>
              </w:rPr>
              <w:drawing>
                <wp:inline distT="0" distB="0" distL="0" distR="0" wp14:anchorId="251A8E99" wp14:editId="2F802F8F">
                  <wp:extent cx="3092400" cy="2530800"/>
                  <wp:effectExtent l="0" t="0" r="0" b="317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14:paraId="160C7CA7" w14:textId="77777777" w:rsidR="00F27734" w:rsidRDefault="00F27734" w:rsidP="00F27734">
            <w:pPr>
              <w:tabs>
                <w:tab w:val="left" w:pos="580"/>
              </w:tabs>
              <w:rPr>
                <w:rFonts w:eastAsia="Myriad Pro" w:cs="Myriad Pro"/>
              </w:rPr>
            </w:pPr>
            <w:r>
              <w:rPr>
                <w:b/>
              </w:rPr>
              <w:t xml:space="preserve">Consumer price inflation increased significantly year-on-year in October (to 3.0%), with energy prices rising sharply. </w:t>
            </w:r>
            <w:r>
              <w:t>About two-thirds of the increase was due to higher prices for petroleum products (by more than 35% year-on-year) and heat energy (by almost 45%). In the face of higher commodity and energy prices and supply chain disruptions, the increase in durable goods prices strengthened further, reaching 4.6%. This is mainly due to higher car prices, which have risen significantly in recent months and were 5.6% higher year-on-year in October. Prices of semi-durable goods were lower year-on-year for the second month in a row (by 0.8%). Growth in services prices remains low at around 1%. Among services, the highest price rise was seen in accommodation and food service activities (5.9% year-on-year). In October, prices in the food and non-alcoholic beverages group were higher year-on-year for the first time since January (but only by 0.3%). In the coming months, however, we expect their growth to strengthen due to the low base and the expected increase in prices for certain food products.</w:t>
            </w:r>
          </w:p>
          <w:p w14:paraId="6CD5C2DD" w14:textId="77777777" w:rsidR="007442DA" w:rsidRPr="00DF4F0B" w:rsidRDefault="007442DA" w:rsidP="00562849">
            <w:pPr>
              <w:tabs>
                <w:tab w:val="left" w:pos="580"/>
              </w:tabs>
              <w:rPr>
                <w:rStyle w:val="normaltextrun"/>
                <w:b/>
                <w:bCs/>
                <w:color w:val="000000" w:themeColor="text1"/>
              </w:rPr>
            </w:pPr>
          </w:p>
        </w:tc>
      </w:tr>
    </w:tbl>
    <w:p w14:paraId="51A6904C" w14:textId="77777777" w:rsidR="007442DA" w:rsidRDefault="007442DA" w:rsidP="007442DA">
      <w:pPr>
        <w:tabs>
          <w:tab w:val="left" w:pos="580"/>
        </w:tabs>
        <w:rPr>
          <w:rFonts w:eastAsia="Myriad Pro" w:cs="Myriad Pro"/>
        </w:rPr>
      </w:pPr>
    </w:p>
    <w:p w14:paraId="7DFA922A" w14:textId="77777777" w:rsidR="007442DA" w:rsidRDefault="007442DA" w:rsidP="007442DA">
      <w:pPr>
        <w:tabs>
          <w:tab w:val="left" w:pos="580"/>
        </w:tabs>
        <w:rPr>
          <w:rFonts w:eastAsia="Myriad Pro" w:cs="Myriad Pro"/>
        </w:rPr>
      </w:pPr>
    </w:p>
    <w:p w14:paraId="10C65E4E" w14:textId="77777777" w:rsidR="007442DA" w:rsidRDefault="007442DA" w:rsidP="007442DA">
      <w:pPr>
        <w:tabs>
          <w:tab w:val="left" w:pos="580"/>
        </w:tabs>
        <w:rPr>
          <w:rFonts w:eastAsia="Myriad Pro" w:cs="Myriad Pro"/>
        </w:rPr>
      </w:pPr>
    </w:p>
    <w:p w14:paraId="251C925B" w14:textId="77777777" w:rsidR="007442DA" w:rsidRDefault="007442DA" w:rsidP="007442DA">
      <w:pPr>
        <w:tabs>
          <w:tab w:val="left" w:pos="580"/>
        </w:tabs>
        <w:rPr>
          <w:rFonts w:eastAsia="Myriad Pro" w:cs="Myriad Pro"/>
        </w:rPr>
      </w:pPr>
    </w:p>
    <w:p w14:paraId="5427737E" w14:textId="77777777" w:rsidR="007442DA" w:rsidRPr="007D2361" w:rsidRDefault="007442DA" w:rsidP="007442DA">
      <w:pPr>
        <w:sectPr w:rsidR="007442DA" w:rsidRPr="007D2361" w:rsidSect="00187E14">
          <w:headerReference w:type="default" r:id="rId9"/>
          <w:footerReference w:type="default" r:id="rId10"/>
          <w:headerReference w:type="first" r:id="rId11"/>
          <w:footerReference w:type="first" r:id="rId12"/>
          <w:pgSz w:w="11906" w:h="16838"/>
          <w:pgMar w:top="1134" w:right="1134" w:bottom="1021" w:left="1134" w:header="709" w:footer="397" w:gutter="0"/>
          <w:cols w:space="708"/>
          <w:docGrid w:linePitch="360"/>
        </w:sect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7442DA" w:rsidRPr="007A0B59" w14:paraId="7DB36993" w14:textId="77777777" w:rsidTr="001D080E">
        <w:trPr>
          <w:trHeight w:val="207"/>
        </w:trPr>
        <w:tc>
          <w:tcPr>
            <w:tcW w:w="4819" w:type="dxa"/>
            <w:tcBorders>
              <w:bottom w:val="single" w:sz="4" w:space="0" w:color="auto"/>
            </w:tcBorders>
            <w:tcMar>
              <w:left w:w="0" w:type="dxa"/>
            </w:tcMar>
          </w:tcPr>
          <w:p w14:paraId="088678BA" w14:textId="4870EA68" w:rsidR="007442DA" w:rsidRPr="007A0B59" w:rsidRDefault="007442DA" w:rsidP="001D080E">
            <w:pPr>
              <w:pStyle w:val="Naslov31"/>
              <w:jc w:val="left"/>
            </w:pPr>
            <w:r>
              <w:lastRenderedPageBreak/>
              <w:t>Turnover in trade, August 2021</w:t>
            </w:r>
          </w:p>
        </w:tc>
        <w:tc>
          <w:tcPr>
            <w:tcW w:w="4820" w:type="dxa"/>
            <w:gridSpan w:val="2"/>
            <w:tcBorders>
              <w:bottom w:val="single" w:sz="4" w:space="0" w:color="auto"/>
            </w:tcBorders>
          </w:tcPr>
          <w:p w14:paraId="29D223C8" w14:textId="77777777" w:rsidR="007442DA" w:rsidRPr="007A0B59" w:rsidRDefault="007442DA" w:rsidP="001D080E">
            <w:pPr>
              <w:pStyle w:val="Naslov31"/>
            </w:pPr>
          </w:p>
        </w:tc>
      </w:tr>
      <w:tr w:rsidR="00F27734" w:rsidRPr="00DF4F0B" w14:paraId="58C9ACB3" w14:textId="77777777" w:rsidTr="001D080E">
        <w:trPr>
          <w:trHeight w:val="1134"/>
        </w:trPr>
        <w:tc>
          <w:tcPr>
            <w:tcW w:w="4982" w:type="dxa"/>
            <w:gridSpan w:val="2"/>
            <w:tcBorders>
              <w:top w:val="single" w:sz="4" w:space="0" w:color="auto"/>
            </w:tcBorders>
            <w:tcMar>
              <w:left w:w="0" w:type="dxa"/>
            </w:tcMar>
          </w:tcPr>
          <w:p w14:paraId="66E615E6" w14:textId="47BC7692" w:rsidR="00F27734" w:rsidRDefault="00F27734" w:rsidP="00F27734">
            <w:pPr>
              <w:pStyle w:val="ListParagraph"/>
              <w:ind w:left="0"/>
            </w:pPr>
            <w:r>
              <w:rPr>
                <w:noProof/>
                <w:lang w:val="sl-SI" w:eastAsia="sl-SI"/>
              </w:rPr>
              <w:drawing>
                <wp:inline distT="0" distB="0" distL="0" distR="0" wp14:anchorId="5505AC13" wp14:editId="241D9E46">
                  <wp:extent cx="2973600" cy="2433600"/>
                  <wp:effectExtent l="0" t="0" r="0" b="508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73600" cy="2433600"/>
                          </a:xfrm>
                          <a:prstGeom prst="rect">
                            <a:avLst/>
                          </a:prstGeom>
                          <a:noFill/>
                        </pic:spPr>
                      </pic:pic>
                    </a:graphicData>
                  </a:graphic>
                </wp:inline>
              </w:drawing>
            </w:r>
          </w:p>
        </w:tc>
        <w:tc>
          <w:tcPr>
            <w:tcW w:w="4657" w:type="dxa"/>
            <w:tcBorders>
              <w:top w:val="single" w:sz="4" w:space="0" w:color="auto"/>
            </w:tcBorders>
            <w:tcMar>
              <w:left w:w="284" w:type="dxa"/>
            </w:tcMar>
          </w:tcPr>
          <w:p w14:paraId="23E30F2B" w14:textId="57D05A57" w:rsidR="00F27734" w:rsidRPr="00DF4F0B" w:rsidRDefault="00F27734" w:rsidP="00F27734">
            <w:pPr>
              <w:rPr>
                <w:rStyle w:val="normaltextrun"/>
                <w:b/>
                <w:bCs/>
                <w:color w:val="000000" w:themeColor="text1"/>
              </w:rPr>
            </w:pPr>
            <w:r>
              <w:rPr>
                <w:rStyle w:val="normaltextrun"/>
                <w:b/>
                <w:color w:val="000000"/>
                <w:shd w:val="clear" w:color="auto" w:fill="FFFFFF"/>
              </w:rPr>
              <w:t>Turnover in trade rose in all three main segments in August, following a sharp decline in July; according to preliminary data, growth continued in September.</w:t>
            </w:r>
            <w:r>
              <w:rPr>
                <w:rStyle w:val="normaltextrun"/>
                <w:color w:val="000000"/>
                <w:shd w:val="clear" w:color="auto" w:fill="FFFFFF"/>
              </w:rPr>
              <w:t xml:space="preserve"> </w:t>
            </w:r>
            <w:r>
              <w:rPr>
                <w:rStyle w:val="normaltextrun"/>
                <w:color w:val="000000" w:themeColor="text1"/>
              </w:rPr>
              <w:t xml:space="preserve">Overall, turnover </w:t>
            </w:r>
            <w:r w:rsidR="00B67309">
              <w:rPr>
                <w:rStyle w:val="normaltextrun"/>
                <w:color w:val="000000" w:themeColor="text1"/>
              </w:rPr>
              <w:t xml:space="preserve">in the first eight months </w:t>
            </w:r>
            <w:r>
              <w:rPr>
                <w:rStyle w:val="normaltextrun"/>
                <w:color w:val="000000" w:themeColor="text1"/>
              </w:rPr>
              <w:t>was 9% higher year-on-year</w:t>
            </w:r>
            <w:r w:rsidR="00B67309">
              <w:rPr>
                <w:rStyle w:val="normaltextrun"/>
                <w:color w:val="000000" w:themeColor="text1"/>
              </w:rPr>
              <w:t xml:space="preserve"> </w:t>
            </w:r>
            <w:r>
              <w:rPr>
                <w:rStyle w:val="normaltextrun"/>
                <w:color w:val="000000" w:themeColor="text1"/>
              </w:rPr>
              <w:t xml:space="preserve">and similar to the same period in 2019. </w:t>
            </w:r>
            <w:r>
              <w:rPr>
                <w:rStyle w:val="normaltextrun"/>
              </w:rPr>
              <w:t xml:space="preserve">Compared to 2019, it was lower only in the </w:t>
            </w:r>
            <w:r>
              <w:rPr>
                <w:rStyle w:val="normaltextrun"/>
                <w:i/>
                <w:iCs/>
              </w:rPr>
              <w:t>sale of motor vehicles</w:t>
            </w:r>
            <w:r>
              <w:rPr>
                <w:rStyle w:val="normaltextrun"/>
              </w:rPr>
              <w:t xml:space="preserve"> and in the sale of </w:t>
            </w:r>
            <w:r w:rsidR="007C2F5C">
              <w:rPr>
                <w:rStyle w:val="normaltextrun"/>
              </w:rPr>
              <w:t>motor</w:t>
            </w:r>
            <w:r>
              <w:rPr>
                <w:rStyle w:val="normaltextrun"/>
              </w:rPr>
              <w:t xml:space="preserve"> fuel</w:t>
            </w:r>
            <w:r w:rsidRPr="009B7DEB">
              <w:rPr>
                <w:rStyle w:val="FootnoteReference"/>
                <w:color w:val="000000"/>
                <w:shd w:val="clear" w:color="auto" w:fill="FFFFFF"/>
              </w:rPr>
              <w:footnoteReference w:id="2"/>
            </w:r>
            <w:r>
              <w:rPr>
                <w:rStyle w:val="normaltextrun"/>
                <w:color w:val="000000"/>
                <w:shd w:val="clear" w:color="auto" w:fill="FFFFFF"/>
              </w:rPr>
              <w:t xml:space="preserve">. </w:t>
            </w:r>
            <w:r>
              <w:t>In contrast, turnover in this period was 12% higher in the sale of non-food products within the</w:t>
            </w:r>
            <w:r>
              <w:rPr>
                <w:i/>
                <w:iCs/>
              </w:rPr>
              <w:t xml:space="preserve"> retail sector</w:t>
            </w:r>
            <w:r>
              <w:t>, where sales via mail order and the internet more than doubled (accounting for around 7% of total turnover), while sales of pharmaceutical and medical products, as well as computer and telecommunications equipment rose by around a tenth.</w:t>
            </w:r>
            <w:r>
              <w:rPr>
                <w:rStyle w:val="normaltextrun"/>
                <w:color w:val="000000"/>
                <w:shd w:val="clear" w:color="auto" w:fill="FFFFFF"/>
              </w:rPr>
              <w:t xml:space="preserve"> </w:t>
            </w:r>
            <w:r>
              <w:rPr>
                <w:rStyle w:val="normaltextrun"/>
              </w:rPr>
              <w:t xml:space="preserve">According to preliminary data, turnover </w:t>
            </w:r>
            <w:r>
              <w:rPr>
                <w:rStyle w:val="normaltextrun"/>
                <w:color w:val="000000"/>
                <w:shd w:val="clear" w:color="auto" w:fill="FFFFFF"/>
              </w:rPr>
              <w:t>in retail trade and motor vehicle sales further increased in</w:t>
            </w:r>
            <w:r>
              <w:rPr>
                <w:rStyle w:val="normaltextrun"/>
              </w:rPr>
              <w:t xml:space="preserve"> September.</w:t>
            </w:r>
          </w:p>
        </w:tc>
      </w:tr>
    </w:tbl>
    <w:p w14:paraId="4BF34530" w14:textId="77777777" w:rsidR="007442DA" w:rsidRDefault="007442DA" w:rsidP="007442DA">
      <w:pPr>
        <w:spacing w:after="160" w:line="259" w:lineRule="auto"/>
        <w:jc w:val="left"/>
        <w:rPr>
          <w:b/>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7442DA" w:rsidRPr="007A0B59" w14:paraId="3F82E495" w14:textId="77777777" w:rsidTr="4DFCB199">
        <w:trPr>
          <w:trHeight w:val="207"/>
        </w:trPr>
        <w:tc>
          <w:tcPr>
            <w:tcW w:w="4819" w:type="dxa"/>
            <w:tcBorders>
              <w:bottom w:val="single" w:sz="4" w:space="0" w:color="auto"/>
            </w:tcBorders>
            <w:tcMar>
              <w:left w:w="0" w:type="dxa"/>
            </w:tcMar>
          </w:tcPr>
          <w:p w14:paraId="4EB22D6F" w14:textId="4DC48986" w:rsidR="007442DA" w:rsidRPr="007A0B59" w:rsidRDefault="007C0836" w:rsidP="001D080E">
            <w:pPr>
              <w:pStyle w:val="Naslov31"/>
              <w:jc w:val="left"/>
            </w:pPr>
            <w:r>
              <w:t>Turnover in market services, August 2021</w:t>
            </w:r>
          </w:p>
        </w:tc>
        <w:tc>
          <w:tcPr>
            <w:tcW w:w="4820" w:type="dxa"/>
            <w:gridSpan w:val="2"/>
            <w:tcBorders>
              <w:bottom w:val="single" w:sz="4" w:space="0" w:color="auto"/>
            </w:tcBorders>
          </w:tcPr>
          <w:p w14:paraId="2485E3DA" w14:textId="77777777" w:rsidR="007442DA" w:rsidRPr="007A0B59" w:rsidRDefault="007442DA" w:rsidP="001D080E">
            <w:pPr>
              <w:pStyle w:val="Naslov31"/>
            </w:pPr>
          </w:p>
        </w:tc>
      </w:tr>
      <w:tr w:rsidR="007442DA" w:rsidRPr="00DF4F0B" w14:paraId="07C02050" w14:textId="77777777" w:rsidTr="4DFCB199">
        <w:trPr>
          <w:trHeight w:val="1134"/>
        </w:trPr>
        <w:tc>
          <w:tcPr>
            <w:tcW w:w="4982" w:type="dxa"/>
            <w:gridSpan w:val="2"/>
            <w:tcBorders>
              <w:top w:val="single" w:sz="4" w:space="0" w:color="auto"/>
            </w:tcBorders>
            <w:tcMar>
              <w:left w:w="0" w:type="dxa"/>
            </w:tcMar>
          </w:tcPr>
          <w:p w14:paraId="1B87FF6C" w14:textId="53904E3A" w:rsidR="007442DA" w:rsidRDefault="00843768" w:rsidP="001D080E">
            <w:pPr>
              <w:pStyle w:val="ListParagraph"/>
              <w:ind w:left="0"/>
            </w:pPr>
            <w:r>
              <w:rPr>
                <w:noProof/>
                <w:lang w:val="sl-SI" w:eastAsia="sl-SI"/>
              </w:rPr>
              <w:drawing>
                <wp:inline distT="0" distB="0" distL="0" distR="0" wp14:anchorId="6D4E4538" wp14:editId="6215F73C">
                  <wp:extent cx="3092400" cy="2530800"/>
                  <wp:effectExtent l="0" t="0" r="0" b="317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14:paraId="4B5E9D2A" w14:textId="57E3B74A" w:rsidR="007442DA" w:rsidRPr="00DF4F0B" w:rsidRDefault="00F27734" w:rsidP="00F20463">
            <w:pPr>
              <w:rPr>
                <w:rFonts w:eastAsia="Arial"/>
                <w:b/>
                <w:bCs/>
                <w:color w:val="D9D9D9" w:themeColor="background1" w:themeShade="D9"/>
              </w:rPr>
            </w:pPr>
            <w:r w:rsidRPr="4DFCB199">
              <w:rPr>
                <w:b/>
                <w:bCs/>
              </w:rPr>
              <w:t xml:space="preserve">In August, real turnover in market services continued to rise. </w:t>
            </w:r>
            <w:r>
              <w:t xml:space="preserve">It increased by 2.3% from the previous month and by 15.3% from a year earlier. Due to the significant growth </w:t>
            </w:r>
            <w:r w:rsidR="3EEF6043">
              <w:t xml:space="preserve">in </w:t>
            </w:r>
            <w:r>
              <w:t xml:space="preserve">computer services in the domestic and foreign markets, the highest increase in turnover was recorded in information and communication services where turnover had stagnated for a long period of time. In recent months, turnover in accommodation and food service </w:t>
            </w:r>
            <w:r w:rsidR="00F20463">
              <w:t xml:space="preserve">activities </w:t>
            </w:r>
            <w:r>
              <w:t>has increased significantly, which is related to the increase in overnight stays by foreign and domestic tourists, as well as same-day visitors redeeming their last year’s and this year's vouchers. Turnover, which was 14% higher year-on-year, was</w:t>
            </w:r>
            <w:r w:rsidR="00A315A2">
              <w:t xml:space="preserve"> still</w:t>
            </w:r>
            <w:r>
              <w:t xml:space="preserve"> 2% lower than in August 2019. Transportation continued its moderate growth, fuelled mainly by storage activity.</w:t>
            </w:r>
            <w:r w:rsidRPr="4DFCB199">
              <w:rPr>
                <w:color w:val="000000" w:themeColor="text1"/>
              </w:rPr>
              <w:t xml:space="preserve"> Turnover further declined in professional and technical activities, due to a significant fall in architectural and engineering services. </w:t>
            </w:r>
            <w:r>
              <w:t xml:space="preserve">Despite further increase in travel agencies, turnover also declined in </w:t>
            </w:r>
            <w:r w:rsidR="00F20463">
              <w:t xml:space="preserve">administrative and support service </w:t>
            </w:r>
            <w:r>
              <w:t>activities.</w:t>
            </w:r>
            <w:r w:rsidRPr="4DFCB199">
              <w:rPr>
                <w:color w:val="000000" w:themeColor="text1"/>
              </w:rPr>
              <w:t xml:space="preserve"> Only in a few other activities, such as travel and employment agencies, was the gap with turnover in the same month of 2019 significant.</w:t>
            </w:r>
          </w:p>
        </w:tc>
      </w:tr>
    </w:tbl>
    <w:p w14:paraId="70A45E8C" w14:textId="77777777" w:rsidR="007442DA" w:rsidRDefault="007442DA" w:rsidP="007442DA">
      <w:pPr>
        <w:spacing w:after="160" w:line="259" w:lineRule="auto"/>
        <w:jc w:val="left"/>
        <w:rPr>
          <w:b/>
        </w:rPr>
      </w:pPr>
    </w:p>
    <w:p w14:paraId="6CCC179E" w14:textId="77777777" w:rsidR="007442DA" w:rsidRDefault="007442DA" w:rsidP="007442DA">
      <w:pPr>
        <w:spacing w:after="160" w:line="259" w:lineRule="auto"/>
        <w:jc w:val="left"/>
        <w:rPr>
          <w:b/>
        </w:rPr>
      </w:pPr>
      <w:r>
        <w:br w:type="page"/>
      </w:r>
    </w:p>
    <w:p w14:paraId="36BF2D09" w14:textId="77777777" w:rsidR="002F7C7B" w:rsidRDefault="002F7C7B" w:rsidP="00804DA8">
      <w:pPr>
        <w:pStyle w:val="Naslov31"/>
        <w:jc w:val="left"/>
        <w:sectPr w:rsidR="002F7C7B" w:rsidSect="00182B9F">
          <w:headerReference w:type="default" r:id="rId15"/>
          <w:headerReference w:type="first" r:id="rId16"/>
          <w:pgSz w:w="11906" w:h="16838"/>
          <w:pgMar w:top="1134" w:right="1134" w:bottom="1021" w:left="1134" w:header="709" w:footer="397" w:gutter="0"/>
          <w:cols w:space="708"/>
          <w:titlePg/>
          <w:docGrid w:linePitch="360"/>
        </w:sectPr>
      </w:pPr>
    </w:p>
    <w:p w14:paraId="0DE2B070" w14:textId="3949D555" w:rsidR="002E69B6" w:rsidRPr="00887D7E" w:rsidRDefault="0086663D" w:rsidP="001F51CD">
      <w:pPr>
        <w:tabs>
          <w:tab w:val="left" w:pos="580"/>
        </w:tabs>
      </w:pPr>
      <w:r>
        <w:rPr>
          <w:noProof/>
          <w:lang w:val="sl-SI" w:eastAsia="sl-SI"/>
        </w:rPr>
        <w:lastRenderedPageBreak/>
        <w:drawing>
          <wp:inline distT="0" distB="0" distL="0" distR="0" wp14:anchorId="4E04147E" wp14:editId="74C1D0B0">
            <wp:extent cx="6120130" cy="8386445"/>
            <wp:effectExtent l="0" t="0" r="0" b="0"/>
            <wp:docPr id="5" name="Picture 3" descr="Table of selected macroeconomic indicators for Slovenia">
              <a:extLst xmlns:a="http://schemas.openxmlformats.org/drawingml/2006/main">
                <a:ext uri="{FF2B5EF4-FFF2-40B4-BE49-F238E27FC236}">
                  <a16:creationId xmlns:a16="http://schemas.microsoft.com/office/drawing/2014/main" id="{B7D01D7E-31E6-4711-A45D-D68C7B68BE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Table of selected macroeconomic indicators for Slovenia">
                      <a:extLst>
                        <a:ext uri="{FF2B5EF4-FFF2-40B4-BE49-F238E27FC236}">
                          <a16:creationId xmlns:a16="http://schemas.microsoft.com/office/drawing/2014/main" id="{B7D01D7E-31E6-4711-A45D-D68C7B68BE0F}"/>
                        </a:ext>
                      </a:extLst>
                    </pic:cNvPr>
                    <pic:cNvPicPr>
                      <a:picLocks noChangeAspect="1" noChangeArrowheads="1"/>
                      <a:extLst>
                        <a:ext uri="{84589F7E-364E-4C9E-8A38-B11213B215E9}">
                          <a14:cameraTool xmlns:a14="http://schemas.microsoft.com/office/drawing/2010/main" cellRange="'angl TGG tabela - NE SPREMINJAJ'!$A$1:$L$78" spid="_x0000_s30623"/>
                        </a:ext>
                      </a:extLst>
                    </pic:cNvPicPr>
                  </pic:nvPicPr>
                  <pic:blipFill>
                    <a:blip r:embed="rId17"/>
                    <a:srcRect/>
                    <a:stretch>
                      <a:fillRect/>
                    </a:stretch>
                  </pic:blipFill>
                  <pic:spPr bwMode="auto">
                    <a:xfrm>
                      <a:off x="0" y="0"/>
                      <a:ext cx="6120130" cy="8386445"/>
                    </a:xfrm>
                    <a:prstGeom prst="rect">
                      <a:avLst/>
                    </a:prstGeom>
                    <a:solidFill>
                      <a:srgbClr xmlns:a14="http://schemas.microsoft.com/office/drawing/2010/main" val="FFFFFF" mc:Ignorable="a14" a14:legacySpreadsheetColorIndex="9"/>
                    </a:solidFill>
                    <a:ln>
                      <a:noFill/>
                    </a:ln>
                    <a:extLst/>
                  </pic:spPr>
                </pic:pic>
              </a:graphicData>
            </a:graphic>
          </wp:inline>
        </w:drawing>
      </w:r>
    </w:p>
    <w:sectPr w:rsidR="002E69B6" w:rsidRPr="00887D7E" w:rsidSect="00363E63">
      <w:headerReference w:type="default" r:id="rId18"/>
      <w:footerReference w:type="default" r:id="rId19"/>
      <w:pgSz w:w="11906" w:h="16838"/>
      <w:pgMar w:top="1134" w:right="1134" w:bottom="1021"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1D2B17" w14:textId="77777777" w:rsidR="00EE3637" w:rsidRDefault="00EE3637" w:rsidP="0063497B">
      <w:pPr>
        <w:spacing w:line="240" w:lineRule="auto"/>
      </w:pPr>
      <w:r>
        <w:separator/>
      </w:r>
    </w:p>
  </w:endnote>
  <w:endnote w:type="continuationSeparator" w:id="0">
    <w:p w14:paraId="06583591" w14:textId="77777777" w:rsidR="00EE3637" w:rsidRDefault="00EE3637" w:rsidP="0063497B">
      <w:pPr>
        <w:spacing w:line="240" w:lineRule="auto"/>
      </w:pPr>
      <w:r>
        <w:continuationSeparator/>
      </w:r>
    </w:p>
  </w:endnote>
  <w:endnote w:type="continuationNotice" w:id="1">
    <w:p w14:paraId="35D89909" w14:textId="77777777" w:rsidR="00EE3637" w:rsidRDefault="00EE363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yriad Pro">
    <w:altName w:val="Corbel"/>
    <w:panose1 w:val="020B0503030403020204"/>
    <w:charset w:val="00"/>
    <w:family w:val="swiss"/>
    <w:notTrueType/>
    <w:pitch w:val="variable"/>
    <w:sig w:usb0="A00002AF" w:usb1="5000204B" w:usb2="00000000" w:usb3="00000000" w:csb0="000000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60052E" w14:textId="4882910A" w:rsidR="007442DA" w:rsidRPr="00363E63" w:rsidRDefault="007442DA" w:rsidP="00363E63">
    <w:pPr>
      <w:pStyle w:val="Naslov31"/>
      <w:tabs>
        <w:tab w:val="right" w:pos="9638"/>
      </w:tabs>
      <w:jc w:val="left"/>
      <w:rPr>
        <w:b w:val="0"/>
        <w:sz w:val="18"/>
        <w:szCs w:val="18"/>
      </w:rPr>
    </w:pPr>
    <w:r>
      <w:rPr>
        <w:sz w:val="18"/>
      </w:rPr>
      <w:t>Extra information:</w:t>
    </w:r>
    <w:r>
      <w:rPr>
        <w:rStyle w:val="Naslov3Char"/>
        <w:b/>
        <w:sz w:val="18"/>
      </w:rPr>
      <w:t xml:space="preserve"> </w:t>
    </w:r>
    <w:r>
      <w:rPr>
        <w:b w:val="0"/>
        <w:sz w:val="18"/>
      </w:rPr>
      <w:t xml:space="preserve">phone: +386 1 478 10 04, e-mail: </w:t>
    </w:r>
    <w:hyperlink r:id="rId1" w:history="1">
      <w:r>
        <w:rPr>
          <w:rStyle w:val="Hyperlink"/>
          <w:b w:val="0"/>
          <w:sz w:val="18"/>
        </w:rPr>
        <w:t>polona.osrajnik@gov.si</w:t>
      </w:r>
    </w:hyperlink>
    <w:r>
      <w:t xml:space="preserve"> </w:t>
    </w:r>
    <w:r>
      <w:rPr>
        <w:b w:val="0"/>
        <w:sz w:val="18"/>
      </w:rPr>
      <w:tab/>
    </w:r>
    <w:r>
      <w:rPr>
        <w:sz w:val="18"/>
      </w:rPr>
      <w:t xml:space="preserve"> </w:t>
    </w:r>
    <w:sdt>
      <w:sdtPr>
        <w:rPr>
          <w:color w:val="2B579A"/>
          <w:sz w:val="18"/>
          <w:szCs w:val="18"/>
          <w:shd w:val="clear" w:color="auto" w:fill="E6E6E6"/>
        </w:rPr>
        <w:id w:val="-652685202"/>
        <w:docPartObj>
          <w:docPartGallery w:val="Page Numbers (Bottom of Page)"/>
          <w:docPartUnique/>
        </w:docPartObj>
      </w:sdtPr>
      <w:sdtEndPr/>
      <w:sdtContent>
        <w:r w:rsidRPr="00363E63">
          <w:rPr>
            <w:color w:val="2B579A"/>
            <w:sz w:val="18"/>
            <w:shd w:val="clear" w:color="auto" w:fill="E6E6E6"/>
          </w:rPr>
          <w:fldChar w:fldCharType="begin"/>
        </w:r>
        <w:r w:rsidRPr="00363E63">
          <w:rPr>
            <w:sz w:val="18"/>
          </w:rPr>
          <w:instrText>PAGE   \* MERGEFORMAT</w:instrText>
        </w:r>
        <w:r w:rsidRPr="00363E63">
          <w:rPr>
            <w:color w:val="2B579A"/>
            <w:sz w:val="18"/>
            <w:shd w:val="clear" w:color="auto" w:fill="E6E6E6"/>
          </w:rPr>
          <w:fldChar w:fldCharType="separate"/>
        </w:r>
        <w:r w:rsidR="00F20463">
          <w:rPr>
            <w:noProof/>
            <w:sz w:val="18"/>
          </w:rPr>
          <w:t>1</w:t>
        </w:r>
        <w:r w:rsidRPr="00363E63">
          <w:rPr>
            <w:color w:val="2B579A"/>
            <w:sz w:val="18"/>
            <w:shd w:val="clear" w:color="auto" w:fill="E6E6E6"/>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4E1F98" w14:textId="73750AB3" w:rsidR="007442DA" w:rsidRPr="00363E63" w:rsidRDefault="007442DA" w:rsidP="00363E63">
    <w:pPr>
      <w:pStyle w:val="Naslov31"/>
      <w:tabs>
        <w:tab w:val="right" w:pos="9638"/>
      </w:tabs>
      <w:jc w:val="left"/>
      <w:rPr>
        <w:b w:val="0"/>
        <w:sz w:val="18"/>
        <w:szCs w:val="18"/>
      </w:rPr>
    </w:pPr>
    <w:r>
      <w:rPr>
        <w:sz w:val="18"/>
      </w:rPr>
      <w:t>Extra information:</w:t>
    </w:r>
    <w:r>
      <w:rPr>
        <w:rStyle w:val="Naslov3Char"/>
        <w:b/>
        <w:sz w:val="18"/>
      </w:rPr>
      <w:t xml:space="preserve"> </w:t>
    </w:r>
    <w:r>
      <w:rPr>
        <w:b w:val="0"/>
        <w:sz w:val="18"/>
      </w:rPr>
      <w:t xml:space="preserve">phone: +386 1 478 10 04, e-mail: </w:t>
    </w:r>
    <w:hyperlink r:id="rId1" w:history="1">
      <w:r>
        <w:rPr>
          <w:rStyle w:val="Hyperlink"/>
          <w:b w:val="0"/>
          <w:sz w:val="18"/>
        </w:rPr>
        <w:t>polona.osrajnik@gov.si</w:t>
      </w:r>
    </w:hyperlink>
    <w:r>
      <w:rPr>
        <w:b w:val="0"/>
        <w:sz w:val="18"/>
      </w:rPr>
      <w:t xml:space="preserve"> </w:t>
    </w:r>
    <w:r>
      <w:rPr>
        <w:b w:val="0"/>
        <w:sz w:val="18"/>
      </w:rPr>
      <w:tab/>
    </w:r>
    <w:r>
      <w:rPr>
        <w:sz w:val="18"/>
      </w:rPr>
      <w:t xml:space="preserve"> </w:t>
    </w:r>
    <w:sdt>
      <w:sdtPr>
        <w:rPr>
          <w:color w:val="2B579A"/>
          <w:sz w:val="18"/>
          <w:szCs w:val="18"/>
          <w:shd w:val="clear" w:color="auto" w:fill="E6E6E6"/>
        </w:rPr>
        <w:id w:val="-89402759"/>
        <w:docPartObj>
          <w:docPartGallery w:val="Page Numbers (Bottom of Page)"/>
          <w:docPartUnique/>
        </w:docPartObj>
      </w:sdtPr>
      <w:sdtEndPr/>
      <w:sdtContent>
        <w:r w:rsidRPr="00363E63">
          <w:rPr>
            <w:color w:val="2B579A"/>
            <w:sz w:val="18"/>
            <w:shd w:val="clear" w:color="auto" w:fill="E6E6E6"/>
          </w:rPr>
          <w:fldChar w:fldCharType="begin"/>
        </w:r>
        <w:r w:rsidRPr="00363E63">
          <w:rPr>
            <w:sz w:val="18"/>
          </w:rPr>
          <w:instrText>PAGE   \* MERGEFORMAT</w:instrText>
        </w:r>
        <w:r w:rsidRPr="00363E63">
          <w:rPr>
            <w:color w:val="2B579A"/>
            <w:sz w:val="18"/>
            <w:shd w:val="clear" w:color="auto" w:fill="E6E6E6"/>
          </w:rPr>
          <w:fldChar w:fldCharType="separate"/>
        </w:r>
        <w:r w:rsidR="00F20463">
          <w:rPr>
            <w:noProof/>
            <w:sz w:val="18"/>
          </w:rPr>
          <w:t>2</w:t>
        </w:r>
        <w:r w:rsidRPr="00363E63">
          <w:rPr>
            <w:color w:val="2B579A"/>
            <w:sz w:val="18"/>
            <w:shd w:val="clear" w:color="auto" w:fill="E6E6E6"/>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8EC9F" w14:textId="77777777" w:rsidR="00363E63" w:rsidRPr="00363E63" w:rsidRDefault="00363E63" w:rsidP="00363E63">
    <w:pPr>
      <w:pStyle w:val="Naslov31"/>
      <w:tabs>
        <w:tab w:val="right" w:pos="9638"/>
      </w:tabs>
      <w:jc w:val="left"/>
      <w:rPr>
        <w:b w:val="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283D86" w14:textId="77777777" w:rsidR="00EE3637" w:rsidRDefault="00EE3637" w:rsidP="0063497B">
      <w:pPr>
        <w:spacing w:line="240" w:lineRule="auto"/>
      </w:pPr>
      <w:r>
        <w:separator/>
      </w:r>
    </w:p>
  </w:footnote>
  <w:footnote w:type="continuationSeparator" w:id="0">
    <w:p w14:paraId="5D9CAE12" w14:textId="77777777" w:rsidR="00EE3637" w:rsidRDefault="00EE3637" w:rsidP="0063497B">
      <w:pPr>
        <w:spacing w:line="240" w:lineRule="auto"/>
      </w:pPr>
      <w:r>
        <w:continuationSeparator/>
      </w:r>
    </w:p>
  </w:footnote>
  <w:footnote w:type="continuationNotice" w:id="1">
    <w:p w14:paraId="3F6DD91B" w14:textId="77777777" w:rsidR="00EE3637" w:rsidRDefault="00EE3637">
      <w:pPr>
        <w:spacing w:line="240" w:lineRule="auto"/>
      </w:pPr>
    </w:p>
  </w:footnote>
  <w:footnote w:id="2">
    <w:p w14:paraId="0C924EB4" w14:textId="00FE90B7" w:rsidR="00F27734" w:rsidRDefault="00F27734">
      <w:pPr>
        <w:pStyle w:val="FootnoteText"/>
      </w:pPr>
      <w:r>
        <w:rPr>
          <w:rStyle w:val="FootnoteReference"/>
        </w:rPr>
        <w:footnoteRef/>
      </w:r>
      <w:r>
        <w:t xml:space="preserve"> Within retail trade, which includes sales of </w:t>
      </w:r>
      <w:r w:rsidR="007C2F5C">
        <w:t>motor</w:t>
      </w:r>
      <w:r>
        <w:t xml:space="preserve"> fuel, food and non-food products.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4737FC" w14:textId="68314E51" w:rsidR="007442DA" w:rsidRDefault="007442DA" w:rsidP="00DE405E">
    <w:pPr>
      <w:jc w:val="right"/>
    </w:pPr>
    <w:r>
      <w:rPr>
        <w:noProof/>
        <w:lang w:val="sl-SI" w:eastAsia="sl-SI"/>
      </w:rPr>
      <w:drawing>
        <wp:anchor distT="0" distB="0" distL="114300" distR="114300" simplePos="0" relativeHeight="251661312" behindDoc="0" locked="0" layoutInCell="1" allowOverlap="1" wp14:anchorId="0089BE65" wp14:editId="319BD0C6">
          <wp:simplePos x="0" y="0"/>
          <wp:positionH relativeFrom="column">
            <wp:posOffset>-369570</wp:posOffset>
          </wp:positionH>
          <wp:positionV relativeFrom="paragraph">
            <wp:posOffset>67945</wp:posOffset>
          </wp:positionV>
          <wp:extent cx="1155700" cy="1002030"/>
          <wp:effectExtent l="0" t="0" r="6350" b="7620"/>
          <wp:wrapTopAndBottom/>
          <wp:docPr id="7" name="Picture 6" descr="IM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D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5700" cy="1002030"/>
                  </a:xfrm>
                  <a:prstGeom prst="rect">
                    <a:avLst/>
                  </a:prstGeom>
                </pic:spPr>
              </pic:pic>
            </a:graphicData>
          </a:graphic>
          <wp14:sizeRelH relativeFrom="margin">
            <wp14:pctWidth>0</wp14:pctWidth>
          </wp14:sizeRelH>
          <wp14:sizeRelV relativeFrom="margin">
            <wp14:pctHeight>0</wp14:pctHeight>
          </wp14:sizeRelV>
        </wp:anchor>
      </w:drawing>
    </w:r>
    <w:r>
      <w:t>3 November 2021</w:t>
    </w:r>
  </w:p>
  <w:p w14:paraId="7C3B808E" w14:textId="77777777" w:rsidR="007442DA" w:rsidRDefault="007442DA" w:rsidP="00DE405E">
    <w:pPr>
      <w:jc w:val="right"/>
    </w:pPr>
  </w:p>
  <w:p w14:paraId="11BFC8C4" w14:textId="77777777" w:rsidR="007442DA" w:rsidRDefault="007442DA" w:rsidP="00DE405E">
    <w:pPr>
      <w:jc w:val="right"/>
    </w:pPr>
  </w:p>
  <w:p w14:paraId="0585C061" w14:textId="77777777" w:rsidR="007442DA" w:rsidRDefault="007442DA" w:rsidP="00DE405E">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210"/>
      <w:gridCol w:w="3210"/>
      <w:gridCol w:w="3210"/>
    </w:tblGrid>
    <w:tr w:rsidR="007442DA" w14:paraId="16CC5D35" w14:textId="77777777" w:rsidTr="17BB30AA">
      <w:tc>
        <w:tcPr>
          <w:tcW w:w="3210" w:type="dxa"/>
        </w:tcPr>
        <w:p w14:paraId="652088AA" w14:textId="77777777" w:rsidR="007442DA" w:rsidRDefault="007442DA" w:rsidP="17BB30AA">
          <w:pPr>
            <w:pStyle w:val="Header"/>
            <w:ind w:left="-115"/>
            <w:jc w:val="left"/>
          </w:pPr>
        </w:p>
      </w:tc>
      <w:tc>
        <w:tcPr>
          <w:tcW w:w="3210" w:type="dxa"/>
        </w:tcPr>
        <w:p w14:paraId="2C27D6DF" w14:textId="77777777" w:rsidR="007442DA" w:rsidRDefault="007442DA" w:rsidP="17BB30AA">
          <w:pPr>
            <w:pStyle w:val="Header"/>
            <w:jc w:val="center"/>
          </w:pPr>
        </w:p>
      </w:tc>
      <w:tc>
        <w:tcPr>
          <w:tcW w:w="3210" w:type="dxa"/>
        </w:tcPr>
        <w:p w14:paraId="0F6AFF2F" w14:textId="77777777" w:rsidR="007442DA" w:rsidRDefault="007442DA" w:rsidP="17BB30AA">
          <w:pPr>
            <w:pStyle w:val="Header"/>
            <w:ind w:right="-115"/>
            <w:jc w:val="right"/>
          </w:pPr>
        </w:p>
      </w:tc>
    </w:tr>
  </w:tbl>
  <w:p w14:paraId="39207765" w14:textId="77777777" w:rsidR="007442DA" w:rsidRDefault="007442D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1BAEEB" w14:textId="77777777" w:rsidR="00182B9F" w:rsidRPr="00182B9F" w:rsidRDefault="00182B9F" w:rsidP="00182B9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CC4FEE" w14:textId="77777777" w:rsidR="00182B9F" w:rsidRDefault="00182B9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09F35" w14:textId="77777777" w:rsidR="00363E63" w:rsidRDefault="00363E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4pt;height:21pt;visibility:visible;mso-wrap-style:square" o:bullet="t">
        <v:imagedata r:id="rId1" o:title=""/>
      </v:shape>
    </w:pict>
  </w:numPicBullet>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B2C16DD"/>
    <w:multiLevelType w:val="hybridMultilevel"/>
    <w:tmpl w:val="56B4C2AA"/>
    <w:lvl w:ilvl="0" w:tplc="B0B23E72">
      <w:start w:val="1"/>
      <w:numFmt w:val="bullet"/>
      <w:lvlText w:val=""/>
      <w:lvlPicBulletId w:val="0"/>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cumentProtection w:edit="trackedChanges" w:enforcement="0"/>
  <w:defaultTabStop w:val="170"/>
  <w:hyphenationZone w:val="425"/>
  <w:drawingGridHorizontalSpacing w:val="4933"/>
  <w:drawingGridVerticalSpacing w:val="3118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2E1A"/>
    <w:rsid w:val="00001002"/>
    <w:rsid w:val="0000421F"/>
    <w:rsid w:val="00005262"/>
    <w:rsid w:val="00007553"/>
    <w:rsid w:val="00011EE3"/>
    <w:rsid w:val="00031C60"/>
    <w:rsid w:val="00036251"/>
    <w:rsid w:val="00044CD2"/>
    <w:rsid w:val="0005476A"/>
    <w:rsid w:val="000664B8"/>
    <w:rsid w:val="000703C7"/>
    <w:rsid w:val="00070B6E"/>
    <w:rsid w:val="00077119"/>
    <w:rsid w:val="0007776B"/>
    <w:rsid w:val="00077F13"/>
    <w:rsid w:val="00082208"/>
    <w:rsid w:val="000920B7"/>
    <w:rsid w:val="000A06AB"/>
    <w:rsid w:val="000A3AC8"/>
    <w:rsid w:val="000A5A42"/>
    <w:rsid w:val="000A7B01"/>
    <w:rsid w:val="000A7BDC"/>
    <w:rsid w:val="000B0162"/>
    <w:rsid w:val="000B374A"/>
    <w:rsid w:val="000D7202"/>
    <w:rsid w:val="000F52F0"/>
    <w:rsid w:val="000F7605"/>
    <w:rsid w:val="000F79AF"/>
    <w:rsid w:val="001061E9"/>
    <w:rsid w:val="00110361"/>
    <w:rsid w:val="001133D0"/>
    <w:rsid w:val="00114A03"/>
    <w:rsid w:val="00115E8D"/>
    <w:rsid w:val="00117484"/>
    <w:rsid w:val="00121702"/>
    <w:rsid w:val="00121A18"/>
    <w:rsid w:val="00123C7D"/>
    <w:rsid w:val="00123D52"/>
    <w:rsid w:val="00124335"/>
    <w:rsid w:val="001307C5"/>
    <w:rsid w:val="00133E20"/>
    <w:rsid w:val="00137532"/>
    <w:rsid w:val="00140468"/>
    <w:rsid w:val="00143E6D"/>
    <w:rsid w:val="0015222B"/>
    <w:rsid w:val="00161FAB"/>
    <w:rsid w:val="00165908"/>
    <w:rsid w:val="00166650"/>
    <w:rsid w:val="0017456F"/>
    <w:rsid w:val="00174AF2"/>
    <w:rsid w:val="001750C3"/>
    <w:rsid w:val="00182B9F"/>
    <w:rsid w:val="001839E6"/>
    <w:rsid w:val="0018798B"/>
    <w:rsid w:val="00187E14"/>
    <w:rsid w:val="0019138D"/>
    <w:rsid w:val="00192601"/>
    <w:rsid w:val="00194934"/>
    <w:rsid w:val="0019672B"/>
    <w:rsid w:val="00196C55"/>
    <w:rsid w:val="001A0C98"/>
    <w:rsid w:val="001A3C37"/>
    <w:rsid w:val="001B17B1"/>
    <w:rsid w:val="001B56E9"/>
    <w:rsid w:val="001B6AE7"/>
    <w:rsid w:val="001B6DD4"/>
    <w:rsid w:val="001D1127"/>
    <w:rsid w:val="001D6793"/>
    <w:rsid w:val="001E16E8"/>
    <w:rsid w:val="001E20C7"/>
    <w:rsid w:val="001E3E73"/>
    <w:rsid w:val="001E52B8"/>
    <w:rsid w:val="001F51CD"/>
    <w:rsid w:val="001F5C72"/>
    <w:rsid w:val="00201EAA"/>
    <w:rsid w:val="002055F5"/>
    <w:rsid w:val="00234963"/>
    <w:rsid w:val="002350BD"/>
    <w:rsid w:val="00243593"/>
    <w:rsid w:val="00247CE0"/>
    <w:rsid w:val="00252943"/>
    <w:rsid w:val="002530CB"/>
    <w:rsid w:val="00255D1C"/>
    <w:rsid w:val="00256528"/>
    <w:rsid w:val="00260617"/>
    <w:rsid w:val="0026509A"/>
    <w:rsid w:val="00266D67"/>
    <w:rsid w:val="0027659E"/>
    <w:rsid w:val="00284780"/>
    <w:rsid w:val="002928AB"/>
    <w:rsid w:val="0029405F"/>
    <w:rsid w:val="00297D32"/>
    <w:rsid w:val="002A0C21"/>
    <w:rsid w:val="002A5AC0"/>
    <w:rsid w:val="002A6C94"/>
    <w:rsid w:val="002B07FA"/>
    <w:rsid w:val="002B2898"/>
    <w:rsid w:val="002B4319"/>
    <w:rsid w:val="002B4C3A"/>
    <w:rsid w:val="002B5361"/>
    <w:rsid w:val="002C3BFB"/>
    <w:rsid w:val="002C452E"/>
    <w:rsid w:val="002D2C05"/>
    <w:rsid w:val="002D332E"/>
    <w:rsid w:val="002D46EF"/>
    <w:rsid w:val="002E69B6"/>
    <w:rsid w:val="002E6FAD"/>
    <w:rsid w:val="002E7806"/>
    <w:rsid w:val="002F0906"/>
    <w:rsid w:val="002F438B"/>
    <w:rsid w:val="002F61E4"/>
    <w:rsid w:val="002F7C7B"/>
    <w:rsid w:val="003004F7"/>
    <w:rsid w:val="00300B2B"/>
    <w:rsid w:val="00306767"/>
    <w:rsid w:val="00311364"/>
    <w:rsid w:val="00312D09"/>
    <w:rsid w:val="00321BE5"/>
    <w:rsid w:val="003247FD"/>
    <w:rsid w:val="00324AA8"/>
    <w:rsid w:val="00325138"/>
    <w:rsid w:val="003262BF"/>
    <w:rsid w:val="00333F21"/>
    <w:rsid w:val="00334D18"/>
    <w:rsid w:val="003474FD"/>
    <w:rsid w:val="003518B6"/>
    <w:rsid w:val="003544A3"/>
    <w:rsid w:val="00354C63"/>
    <w:rsid w:val="00361682"/>
    <w:rsid w:val="00361808"/>
    <w:rsid w:val="00363E63"/>
    <w:rsid w:val="00366166"/>
    <w:rsid w:val="003727E6"/>
    <w:rsid w:val="00372D1A"/>
    <w:rsid w:val="0038566A"/>
    <w:rsid w:val="00386837"/>
    <w:rsid w:val="00387BF9"/>
    <w:rsid w:val="00392BDA"/>
    <w:rsid w:val="003953F6"/>
    <w:rsid w:val="00395486"/>
    <w:rsid w:val="003A49D8"/>
    <w:rsid w:val="003B3B65"/>
    <w:rsid w:val="003C03EC"/>
    <w:rsid w:val="003C2C5C"/>
    <w:rsid w:val="003C614E"/>
    <w:rsid w:val="003C6AE4"/>
    <w:rsid w:val="003C7FC6"/>
    <w:rsid w:val="003D111B"/>
    <w:rsid w:val="003D1766"/>
    <w:rsid w:val="003D1A76"/>
    <w:rsid w:val="003D4FB5"/>
    <w:rsid w:val="003D6F43"/>
    <w:rsid w:val="003E11F5"/>
    <w:rsid w:val="003E3B68"/>
    <w:rsid w:val="003E7A19"/>
    <w:rsid w:val="003F046B"/>
    <w:rsid w:val="003F0778"/>
    <w:rsid w:val="003F3F33"/>
    <w:rsid w:val="00404EC7"/>
    <w:rsid w:val="0040719E"/>
    <w:rsid w:val="0040765B"/>
    <w:rsid w:val="00410DF6"/>
    <w:rsid w:val="004143E5"/>
    <w:rsid w:val="00416D1B"/>
    <w:rsid w:val="00417008"/>
    <w:rsid w:val="0042166D"/>
    <w:rsid w:val="00425874"/>
    <w:rsid w:val="00427552"/>
    <w:rsid w:val="00431EDD"/>
    <w:rsid w:val="004368FB"/>
    <w:rsid w:val="00443660"/>
    <w:rsid w:val="00452589"/>
    <w:rsid w:val="00452804"/>
    <w:rsid w:val="00454892"/>
    <w:rsid w:val="00455C0C"/>
    <w:rsid w:val="004563B1"/>
    <w:rsid w:val="00464D01"/>
    <w:rsid w:val="00472608"/>
    <w:rsid w:val="00473642"/>
    <w:rsid w:val="00473A92"/>
    <w:rsid w:val="00477274"/>
    <w:rsid w:val="00480AAD"/>
    <w:rsid w:val="004845F1"/>
    <w:rsid w:val="004850BC"/>
    <w:rsid w:val="00485483"/>
    <w:rsid w:val="00485F72"/>
    <w:rsid w:val="0049183B"/>
    <w:rsid w:val="00491F55"/>
    <w:rsid w:val="004970E5"/>
    <w:rsid w:val="004A0410"/>
    <w:rsid w:val="004A336F"/>
    <w:rsid w:val="004A758A"/>
    <w:rsid w:val="004A7D92"/>
    <w:rsid w:val="004D2590"/>
    <w:rsid w:val="004D28ED"/>
    <w:rsid w:val="004E2D3A"/>
    <w:rsid w:val="004E3278"/>
    <w:rsid w:val="004F4AF9"/>
    <w:rsid w:val="0050091F"/>
    <w:rsid w:val="00500B50"/>
    <w:rsid w:val="00503921"/>
    <w:rsid w:val="00505D39"/>
    <w:rsid w:val="00513887"/>
    <w:rsid w:val="00513B09"/>
    <w:rsid w:val="005225F7"/>
    <w:rsid w:val="0052278B"/>
    <w:rsid w:val="00522C91"/>
    <w:rsid w:val="0052312F"/>
    <w:rsid w:val="00532F53"/>
    <w:rsid w:val="00534457"/>
    <w:rsid w:val="00537B4A"/>
    <w:rsid w:val="00545D45"/>
    <w:rsid w:val="00546DBF"/>
    <w:rsid w:val="005508E9"/>
    <w:rsid w:val="0055332B"/>
    <w:rsid w:val="00561C9A"/>
    <w:rsid w:val="00562308"/>
    <w:rsid w:val="00562849"/>
    <w:rsid w:val="00563ABF"/>
    <w:rsid w:val="00564B65"/>
    <w:rsid w:val="0056636E"/>
    <w:rsid w:val="0057225E"/>
    <w:rsid w:val="00592EB2"/>
    <w:rsid w:val="005A36AC"/>
    <w:rsid w:val="005A3F5F"/>
    <w:rsid w:val="005A6A74"/>
    <w:rsid w:val="005B67A1"/>
    <w:rsid w:val="005C5A12"/>
    <w:rsid w:val="005D110B"/>
    <w:rsid w:val="005D2789"/>
    <w:rsid w:val="005D3B64"/>
    <w:rsid w:val="005D4938"/>
    <w:rsid w:val="005D5D51"/>
    <w:rsid w:val="005D7820"/>
    <w:rsid w:val="005E0757"/>
    <w:rsid w:val="005E1743"/>
    <w:rsid w:val="005E4C4B"/>
    <w:rsid w:val="005F0F5B"/>
    <w:rsid w:val="005F5FF0"/>
    <w:rsid w:val="006020EE"/>
    <w:rsid w:val="006034D6"/>
    <w:rsid w:val="00611EE7"/>
    <w:rsid w:val="00615D5B"/>
    <w:rsid w:val="0062213B"/>
    <w:rsid w:val="006269CE"/>
    <w:rsid w:val="00627F83"/>
    <w:rsid w:val="0063083D"/>
    <w:rsid w:val="006313EB"/>
    <w:rsid w:val="00632DC6"/>
    <w:rsid w:val="0063497B"/>
    <w:rsid w:val="006439A6"/>
    <w:rsid w:val="006443E7"/>
    <w:rsid w:val="0065074D"/>
    <w:rsid w:val="00650921"/>
    <w:rsid w:val="00652795"/>
    <w:rsid w:val="00661F4C"/>
    <w:rsid w:val="00662BB5"/>
    <w:rsid w:val="00663944"/>
    <w:rsid w:val="00671853"/>
    <w:rsid w:val="006755B6"/>
    <w:rsid w:val="00677E30"/>
    <w:rsid w:val="00680D0A"/>
    <w:rsid w:val="0068202F"/>
    <w:rsid w:val="0068688B"/>
    <w:rsid w:val="006875F1"/>
    <w:rsid w:val="006965FC"/>
    <w:rsid w:val="00697FFC"/>
    <w:rsid w:val="006A2CED"/>
    <w:rsid w:val="006A6820"/>
    <w:rsid w:val="006B1051"/>
    <w:rsid w:val="006B5173"/>
    <w:rsid w:val="006B5F12"/>
    <w:rsid w:val="006B5F87"/>
    <w:rsid w:val="006C2117"/>
    <w:rsid w:val="006C623E"/>
    <w:rsid w:val="006D1801"/>
    <w:rsid w:val="006D1DD4"/>
    <w:rsid w:val="006D21EF"/>
    <w:rsid w:val="006D65AE"/>
    <w:rsid w:val="006D660A"/>
    <w:rsid w:val="006D7232"/>
    <w:rsid w:val="006D7946"/>
    <w:rsid w:val="006E1C81"/>
    <w:rsid w:val="006E5452"/>
    <w:rsid w:val="006E5FD0"/>
    <w:rsid w:val="006E6211"/>
    <w:rsid w:val="006F1506"/>
    <w:rsid w:val="006F3DD0"/>
    <w:rsid w:val="006F43B2"/>
    <w:rsid w:val="006F67F3"/>
    <w:rsid w:val="007006A5"/>
    <w:rsid w:val="00701540"/>
    <w:rsid w:val="007016EF"/>
    <w:rsid w:val="007115FF"/>
    <w:rsid w:val="00711660"/>
    <w:rsid w:val="0072305B"/>
    <w:rsid w:val="00731B6F"/>
    <w:rsid w:val="007328FE"/>
    <w:rsid w:val="0073739E"/>
    <w:rsid w:val="007411B1"/>
    <w:rsid w:val="007421B2"/>
    <w:rsid w:val="007442DA"/>
    <w:rsid w:val="0074452D"/>
    <w:rsid w:val="0074466E"/>
    <w:rsid w:val="00744B8D"/>
    <w:rsid w:val="00746833"/>
    <w:rsid w:val="0074688F"/>
    <w:rsid w:val="007475BA"/>
    <w:rsid w:val="00750C16"/>
    <w:rsid w:val="00751DB7"/>
    <w:rsid w:val="00762390"/>
    <w:rsid w:val="00762984"/>
    <w:rsid w:val="0076576A"/>
    <w:rsid w:val="007674B2"/>
    <w:rsid w:val="00770F0D"/>
    <w:rsid w:val="00772CB0"/>
    <w:rsid w:val="007731E4"/>
    <w:rsid w:val="007760D3"/>
    <w:rsid w:val="007770B5"/>
    <w:rsid w:val="007824BD"/>
    <w:rsid w:val="00782635"/>
    <w:rsid w:val="007832A7"/>
    <w:rsid w:val="00786195"/>
    <w:rsid w:val="00786C42"/>
    <w:rsid w:val="00790F4D"/>
    <w:rsid w:val="00793AB6"/>
    <w:rsid w:val="0079410F"/>
    <w:rsid w:val="007A0B59"/>
    <w:rsid w:val="007A6C35"/>
    <w:rsid w:val="007B074D"/>
    <w:rsid w:val="007B708A"/>
    <w:rsid w:val="007B7110"/>
    <w:rsid w:val="007C0836"/>
    <w:rsid w:val="007C2F5C"/>
    <w:rsid w:val="007C4B7A"/>
    <w:rsid w:val="007C5222"/>
    <w:rsid w:val="007D0791"/>
    <w:rsid w:val="007D4631"/>
    <w:rsid w:val="007E0425"/>
    <w:rsid w:val="007E77B8"/>
    <w:rsid w:val="007F1307"/>
    <w:rsid w:val="007F13BE"/>
    <w:rsid w:val="007F3096"/>
    <w:rsid w:val="007F485F"/>
    <w:rsid w:val="007F64C4"/>
    <w:rsid w:val="00804742"/>
    <w:rsid w:val="008049AA"/>
    <w:rsid w:val="00812D81"/>
    <w:rsid w:val="00813F80"/>
    <w:rsid w:val="008149ED"/>
    <w:rsid w:val="00822375"/>
    <w:rsid w:val="00841052"/>
    <w:rsid w:val="00843768"/>
    <w:rsid w:val="008444D1"/>
    <w:rsid w:val="0084784F"/>
    <w:rsid w:val="008507B0"/>
    <w:rsid w:val="008541ED"/>
    <w:rsid w:val="00855CE5"/>
    <w:rsid w:val="00860582"/>
    <w:rsid w:val="008637AE"/>
    <w:rsid w:val="00863817"/>
    <w:rsid w:val="008646FF"/>
    <w:rsid w:val="0086663D"/>
    <w:rsid w:val="008678A7"/>
    <w:rsid w:val="008713BF"/>
    <w:rsid w:val="00871E2C"/>
    <w:rsid w:val="00876109"/>
    <w:rsid w:val="0088498B"/>
    <w:rsid w:val="0088644B"/>
    <w:rsid w:val="00887650"/>
    <w:rsid w:val="00887D7E"/>
    <w:rsid w:val="0089056E"/>
    <w:rsid w:val="0089259B"/>
    <w:rsid w:val="00895CDB"/>
    <w:rsid w:val="008B077B"/>
    <w:rsid w:val="008B129E"/>
    <w:rsid w:val="008B3BA9"/>
    <w:rsid w:val="008C1F73"/>
    <w:rsid w:val="008D2AFA"/>
    <w:rsid w:val="008D4C85"/>
    <w:rsid w:val="008D4EBF"/>
    <w:rsid w:val="008D52D0"/>
    <w:rsid w:val="008E2FB1"/>
    <w:rsid w:val="008E6740"/>
    <w:rsid w:val="00901826"/>
    <w:rsid w:val="00905AB9"/>
    <w:rsid w:val="00905AC5"/>
    <w:rsid w:val="009065AE"/>
    <w:rsid w:val="00910265"/>
    <w:rsid w:val="009130E0"/>
    <w:rsid w:val="00914026"/>
    <w:rsid w:val="009235A1"/>
    <w:rsid w:val="009339A9"/>
    <w:rsid w:val="009345E2"/>
    <w:rsid w:val="00935704"/>
    <w:rsid w:val="0093604B"/>
    <w:rsid w:val="00941651"/>
    <w:rsid w:val="0094265C"/>
    <w:rsid w:val="00946C4C"/>
    <w:rsid w:val="0095067C"/>
    <w:rsid w:val="009523CC"/>
    <w:rsid w:val="00952784"/>
    <w:rsid w:val="00954546"/>
    <w:rsid w:val="009554F7"/>
    <w:rsid w:val="00956D7D"/>
    <w:rsid w:val="00961808"/>
    <w:rsid w:val="0097679D"/>
    <w:rsid w:val="0098633D"/>
    <w:rsid w:val="0098677D"/>
    <w:rsid w:val="009916BC"/>
    <w:rsid w:val="009918B9"/>
    <w:rsid w:val="0099433F"/>
    <w:rsid w:val="00994AF5"/>
    <w:rsid w:val="009A08FF"/>
    <w:rsid w:val="009A1E12"/>
    <w:rsid w:val="009A2846"/>
    <w:rsid w:val="009A4299"/>
    <w:rsid w:val="009A6EC5"/>
    <w:rsid w:val="009B5FBC"/>
    <w:rsid w:val="009B7D53"/>
    <w:rsid w:val="009C0C09"/>
    <w:rsid w:val="009C0D03"/>
    <w:rsid w:val="009C53A4"/>
    <w:rsid w:val="009C7520"/>
    <w:rsid w:val="009D07FF"/>
    <w:rsid w:val="009D311B"/>
    <w:rsid w:val="009D55C7"/>
    <w:rsid w:val="009E5EC5"/>
    <w:rsid w:val="009E6771"/>
    <w:rsid w:val="009F6150"/>
    <w:rsid w:val="009F6D5C"/>
    <w:rsid w:val="009F7732"/>
    <w:rsid w:val="00A03772"/>
    <w:rsid w:val="00A072AA"/>
    <w:rsid w:val="00A107AD"/>
    <w:rsid w:val="00A1277D"/>
    <w:rsid w:val="00A17CAB"/>
    <w:rsid w:val="00A20C9D"/>
    <w:rsid w:val="00A2267D"/>
    <w:rsid w:val="00A22E1A"/>
    <w:rsid w:val="00A237A0"/>
    <w:rsid w:val="00A315A2"/>
    <w:rsid w:val="00A35FCE"/>
    <w:rsid w:val="00A42839"/>
    <w:rsid w:val="00A44E09"/>
    <w:rsid w:val="00A46CFE"/>
    <w:rsid w:val="00A52364"/>
    <w:rsid w:val="00A63DAB"/>
    <w:rsid w:val="00A642D3"/>
    <w:rsid w:val="00A64D19"/>
    <w:rsid w:val="00A7050D"/>
    <w:rsid w:val="00A71C27"/>
    <w:rsid w:val="00A74165"/>
    <w:rsid w:val="00A74786"/>
    <w:rsid w:val="00A8329F"/>
    <w:rsid w:val="00A91D52"/>
    <w:rsid w:val="00AA09CD"/>
    <w:rsid w:val="00AA1F25"/>
    <w:rsid w:val="00AA3992"/>
    <w:rsid w:val="00AA5820"/>
    <w:rsid w:val="00AB0C65"/>
    <w:rsid w:val="00AB2351"/>
    <w:rsid w:val="00AB6631"/>
    <w:rsid w:val="00AB7E03"/>
    <w:rsid w:val="00AC0189"/>
    <w:rsid w:val="00AC328B"/>
    <w:rsid w:val="00AC3405"/>
    <w:rsid w:val="00AC50A6"/>
    <w:rsid w:val="00AC60B2"/>
    <w:rsid w:val="00AD6B50"/>
    <w:rsid w:val="00AD6D29"/>
    <w:rsid w:val="00AE0BCF"/>
    <w:rsid w:val="00AE6109"/>
    <w:rsid w:val="00AF2194"/>
    <w:rsid w:val="00AF3058"/>
    <w:rsid w:val="00B00E5E"/>
    <w:rsid w:val="00B0168D"/>
    <w:rsid w:val="00B035D2"/>
    <w:rsid w:val="00B04494"/>
    <w:rsid w:val="00B067BC"/>
    <w:rsid w:val="00B11EE5"/>
    <w:rsid w:val="00B131DE"/>
    <w:rsid w:val="00B1448F"/>
    <w:rsid w:val="00B16752"/>
    <w:rsid w:val="00B17209"/>
    <w:rsid w:val="00B17781"/>
    <w:rsid w:val="00B20754"/>
    <w:rsid w:val="00B220A3"/>
    <w:rsid w:val="00B26E4F"/>
    <w:rsid w:val="00B34F30"/>
    <w:rsid w:val="00B35FFD"/>
    <w:rsid w:val="00B37DC2"/>
    <w:rsid w:val="00B4011D"/>
    <w:rsid w:val="00B427DC"/>
    <w:rsid w:val="00B451B6"/>
    <w:rsid w:val="00B47625"/>
    <w:rsid w:val="00B47E4D"/>
    <w:rsid w:val="00B52382"/>
    <w:rsid w:val="00B52F7E"/>
    <w:rsid w:val="00B55882"/>
    <w:rsid w:val="00B613F5"/>
    <w:rsid w:val="00B61872"/>
    <w:rsid w:val="00B61B71"/>
    <w:rsid w:val="00B62D4B"/>
    <w:rsid w:val="00B647F7"/>
    <w:rsid w:val="00B67309"/>
    <w:rsid w:val="00B71088"/>
    <w:rsid w:val="00B7289B"/>
    <w:rsid w:val="00B738F6"/>
    <w:rsid w:val="00B73F94"/>
    <w:rsid w:val="00B74E00"/>
    <w:rsid w:val="00B752F4"/>
    <w:rsid w:val="00B82C8A"/>
    <w:rsid w:val="00B8300F"/>
    <w:rsid w:val="00B833CE"/>
    <w:rsid w:val="00B83AD6"/>
    <w:rsid w:val="00B84489"/>
    <w:rsid w:val="00B85474"/>
    <w:rsid w:val="00B933A2"/>
    <w:rsid w:val="00B9411A"/>
    <w:rsid w:val="00B95659"/>
    <w:rsid w:val="00B96874"/>
    <w:rsid w:val="00B97DC1"/>
    <w:rsid w:val="00BB6DF6"/>
    <w:rsid w:val="00BC05B3"/>
    <w:rsid w:val="00BD1996"/>
    <w:rsid w:val="00BD1C70"/>
    <w:rsid w:val="00BD7843"/>
    <w:rsid w:val="00BE5A88"/>
    <w:rsid w:val="00BE6D7C"/>
    <w:rsid w:val="00BE7249"/>
    <w:rsid w:val="00BE75B5"/>
    <w:rsid w:val="00BF2574"/>
    <w:rsid w:val="00BF68C7"/>
    <w:rsid w:val="00C07CBB"/>
    <w:rsid w:val="00C11AC1"/>
    <w:rsid w:val="00C153F9"/>
    <w:rsid w:val="00C21E36"/>
    <w:rsid w:val="00C22B80"/>
    <w:rsid w:val="00C2620D"/>
    <w:rsid w:val="00C26706"/>
    <w:rsid w:val="00C317BB"/>
    <w:rsid w:val="00C33770"/>
    <w:rsid w:val="00C34CE5"/>
    <w:rsid w:val="00C411E2"/>
    <w:rsid w:val="00C52613"/>
    <w:rsid w:val="00C56454"/>
    <w:rsid w:val="00C61830"/>
    <w:rsid w:val="00C66F65"/>
    <w:rsid w:val="00C702CF"/>
    <w:rsid w:val="00C72A04"/>
    <w:rsid w:val="00C7435F"/>
    <w:rsid w:val="00C76B2C"/>
    <w:rsid w:val="00C80811"/>
    <w:rsid w:val="00C8534B"/>
    <w:rsid w:val="00CA0A19"/>
    <w:rsid w:val="00CA0F5C"/>
    <w:rsid w:val="00CA3DDE"/>
    <w:rsid w:val="00CA7705"/>
    <w:rsid w:val="00CB0A14"/>
    <w:rsid w:val="00CB7467"/>
    <w:rsid w:val="00CB7F3D"/>
    <w:rsid w:val="00CC24A6"/>
    <w:rsid w:val="00CC35E0"/>
    <w:rsid w:val="00CC4832"/>
    <w:rsid w:val="00CC5657"/>
    <w:rsid w:val="00CE08C3"/>
    <w:rsid w:val="00CE1098"/>
    <w:rsid w:val="00CE675E"/>
    <w:rsid w:val="00CF2062"/>
    <w:rsid w:val="00CF6407"/>
    <w:rsid w:val="00CF6B31"/>
    <w:rsid w:val="00D024E5"/>
    <w:rsid w:val="00D03354"/>
    <w:rsid w:val="00D15B95"/>
    <w:rsid w:val="00D220FE"/>
    <w:rsid w:val="00D22523"/>
    <w:rsid w:val="00D2363D"/>
    <w:rsid w:val="00D312B6"/>
    <w:rsid w:val="00D41892"/>
    <w:rsid w:val="00D467B8"/>
    <w:rsid w:val="00D5264A"/>
    <w:rsid w:val="00D62984"/>
    <w:rsid w:val="00D63BD1"/>
    <w:rsid w:val="00D67D5A"/>
    <w:rsid w:val="00D7320A"/>
    <w:rsid w:val="00D76C88"/>
    <w:rsid w:val="00D809F4"/>
    <w:rsid w:val="00D82609"/>
    <w:rsid w:val="00D95172"/>
    <w:rsid w:val="00DA27A8"/>
    <w:rsid w:val="00DB1C32"/>
    <w:rsid w:val="00DB4CCA"/>
    <w:rsid w:val="00DC1471"/>
    <w:rsid w:val="00DC7F54"/>
    <w:rsid w:val="00DD0FD9"/>
    <w:rsid w:val="00DD4C10"/>
    <w:rsid w:val="00DD4D48"/>
    <w:rsid w:val="00DE2EA9"/>
    <w:rsid w:val="00DE4ACB"/>
    <w:rsid w:val="00DE6062"/>
    <w:rsid w:val="00DE72F6"/>
    <w:rsid w:val="00DF2301"/>
    <w:rsid w:val="00DF29B0"/>
    <w:rsid w:val="00DF3707"/>
    <w:rsid w:val="00DF4F0B"/>
    <w:rsid w:val="00DF55E4"/>
    <w:rsid w:val="00DF6246"/>
    <w:rsid w:val="00E001FF"/>
    <w:rsid w:val="00E021F0"/>
    <w:rsid w:val="00E02749"/>
    <w:rsid w:val="00E02ACF"/>
    <w:rsid w:val="00E0749A"/>
    <w:rsid w:val="00E10F17"/>
    <w:rsid w:val="00E129A1"/>
    <w:rsid w:val="00E20829"/>
    <w:rsid w:val="00E226DD"/>
    <w:rsid w:val="00E22B34"/>
    <w:rsid w:val="00E31874"/>
    <w:rsid w:val="00E353DC"/>
    <w:rsid w:val="00E356BF"/>
    <w:rsid w:val="00E41968"/>
    <w:rsid w:val="00E46065"/>
    <w:rsid w:val="00E47429"/>
    <w:rsid w:val="00E65941"/>
    <w:rsid w:val="00E67674"/>
    <w:rsid w:val="00E717CC"/>
    <w:rsid w:val="00E732D2"/>
    <w:rsid w:val="00E74DE0"/>
    <w:rsid w:val="00E771B1"/>
    <w:rsid w:val="00E776DB"/>
    <w:rsid w:val="00E7791D"/>
    <w:rsid w:val="00E82CA2"/>
    <w:rsid w:val="00E90473"/>
    <w:rsid w:val="00E92388"/>
    <w:rsid w:val="00E93479"/>
    <w:rsid w:val="00E934E8"/>
    <w:rsid w:val="00E94A73"/>
    <w:rsid w:val="00EA699E"/>
    <w:rsid w:val="00EA6B73"/>
    <w:rsid w:val="00EC0BF4"/>
    <w:rsid w:val="00EC41A1"/>
    <w:rsid w:val="00EC6EDE"/>
    <w:rsid w:val="00ED1E16"/>
    <w:rsid w:val="00ED798C"/>
    <w:rsid w:val="00EE3637"/>
    <w:rsid w:val="00EE36B9"/>
    <w:rsid w:val="00EE6FBF"/>
    <w:rsid w:val="00EE7E6E"/>
    <w:rsid w:val="00EF25D4"/>
    <w:rsid w:val="00EF2F19"/>
    <w:rsid w:val="00EF7C1F"/>
    <w:rsid w:val="00F01471"/>
    <w:rsid w:val="00F13478"/>
    <w:rsid w:val="00F141C0"/>
    <w:rsid w:val="00F14A6E"/>
    <w:rsid w:val="00F16082"/>
    <w:rsid w:val="00F20463"/>
    <w:rsid w:val="00F20C31"/>
    <w:rsid w:val="00F22D13"/>
    <w:rsid w:val="00F23F5F"/>
    <w:rsid w:val="00F27734"/>
    <w:rsid w:val="00F30F36"/>
    <w:rsid w:val="00F31F83"/>
    <w:rsid w:val="00F3399B"/>
    <w:rsid w:val="00F36A74"/>
    <w:rsid w:val="00F40852"/>
    <w:rsid w:val="00F409C1"/>
    <w:rsid w:val="00F41E1A"/>
    <w:rsid w:val="00F43F6C"/>
    <w:rsid w:val="00F47B15"/>
    <w:rsid w:val="00F50BC2"/>
    <w:rsid w:val="00F51A69"/>
    <w:rsid w:val="00F52F6D"/>
    <w:rsid w:val="00F545EF"/>
    <w:rsid w:val="00F56A46"/>
    <w:rsid w:val="00F63293"/>
    <w:rsid w:val="00F63B5A"/>
    <w:rsid w:val="00F63F26"/>
    <w:rsid w:val="00F64007"/>
    <w:rsid w:val="00F64F2F"/>
    <w:rsid w:val="00F65156"/>
    <w:rsid w:val="00F655B2"/>
    <w:rsid w:val="00F6635B"/>
    <w:rsid w:val="00F66E1B"/>
    <w:rsid w:val="00F67AE6"/>
    <w:rsid w:val="00F736A3"/>
    <w:rsid w:val="00F73B1A"/>
    <w:rsid w:val="00F77498"/>
    <w:rsid w:val="00F812F8"/>
    <w:rsid w:val="00F83849"/>
    <w:rsid w:val="00F83E8C"/>
    <w:rsid w:val="00F930F6"/>
    <w:rsid w:val="00F9475B"/>
    <w:rsid w:val="00FA45E3"/>
    <w:rsid w:val="00FB064C"/>
    <w:rsid w:val="00FB5533"/>
    <w:rsid w:val="00FB5963"/>
    <w:rsid w:val="00FB5E33"/>
    <w:rsid w:val="00FC11F2"/>
    <w:rsid w:val="00FC30BC"/>
    <w:rsid w:val="00FC697A"/>
    <w:rsid w:val="00FE0670"/>
    <w:rsid w:val="00FE12B1"/>
    <w:rsid w:val="00FE38C6"/>
    <w:rsid w:val="00FE7254"/>
    <w:rsid w:val="00FE755B"/>
    <w:rsid w:val="00FF1B7D"/>
    <w:rsid w:val="00FF1B8C"/>
    <w:rsid w:val="00FF6663"/>
    <w:rsid w:val="0EE520E8"/>
    <w:rsid w:val="1394B156"/>
    <w:rsid w:val="15F3EBD7"/>
    <w:rsid w:val="175A116E"/>
    <w:rsid w:val="17BB30AA"/>
    <w:rsid w:val="1861DD19"/>
    <w:rsid w:val="19E74083"/>
    <w:rsid w:val="1CC8A607"/>
    <w:rsid w:val="200936E7"/>
    <w:rsid w:val="21894BE0"/>
    <w:rsid w:val="2514B017"/>
    <w:rsid w:val="2BE233F5"/>
    <w:rsid w:val="2D331F9D"/>
    <w:rsid w:val="2D3F1A77"/>
    <w:rsid w:val="31D25D35"/>
    <w:rsid w:val="3232BB50"/>
    <w:rsid w:val="3936E378"/>
    <w:rsid w:val="3E4BFB68"/>
    <w:rsid w:val="3EEF6043"/>
    <w:rsid w:val="3F644C1C"/>
    <w:rsid w:val="40E2C37D"/>
    <w:rsid w:val="41001C7D"/>
    <w:rsid w:val="41EAEF53"/>
    <w:rsid w:val="44C3E103"/>
    <w:rsid w:val="46038A48"/>
    <w:rsid w:val="46E33487"/>
    <w:rsid w:val="490DDEDB"/>
    <w:rsid w:val="4C16315E"/>
    <w:rsid w:val="4D9B90AA"/>
    <w:rsid w:val="4DFCB199"/>
    <w:rsid w:val="4E28FBBE"/>
    <w:rsid w:val="51CA5805"/>
    <w:rsid w:val="59466220"/>
    <w:rsid w:val="65774917"/>
    <w:rsid w:val="701566A2"/>
    <w:rsid w:val="70893F96"/>
    <w:rsid w:val="74BB45C0"/>
    <w:rsid w:val="77F41438"/>
    <w:rsid w:val="786CBA90"/>
    <w:rsid w:val="7FB5EB6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4BF36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esedilo"/>
    <w:qFormat/>
    <w:rsid w:val="00363E63"/>
    <w:pPr>
      <w:spacing w:after="0" w:line="250" w:lineRule="atLeast"/>
      <w:jc w:val="both"/>
    </w:pPr>
    <w:rPr>
      <w:rFonts w:ascii="Myriad Pro" w:hAnsi="Myriad Pro"/>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497B"/>
    <w:pPr>
      <w:tabs>
        <w:tab w:val="center" w:pos="4536"/>
        <w:tab w:val="right" w:pos="9072"/>
      </w:tabs>
      <w:spacing w:line="240" w:lineRule="auto"/>
    </w:pPr>
  </w:style>
  <w:style w:type="character" w:customStyle="1" w:styleId="HeaderChar">
    <w:name w:val="Header Char"/>
    <w:basedOn w:val="DefaultParagraphFont"/>
    <w:link w:val="Header"/>
    <w:uiPriority w:val="99"/>
    <w:rsid w:val="0063497B"/>
  </w:style>
  <w:style w:type="paragraph" w:styleId="Footer">
    <w:name w:val="footer"/>
    <w:basedOn w:val="Normal"/>
    <w:link w:val="FooterChar"/>
    <w:uiPriority w:val="99"/>
    <w:unhideWhenUsed/>
    <w:rsid w:val="0063497B"/>
    <w:pPr>
      <w:tabs>
        <w:tab w:val="center" w:pos="4536"/>
        <w:tab w:val="right" w:pos="9072"/>
      </w:tabs>
      <w:spacing w:line="240" w:lineRule="auto"/>
    </w:pPr>
  </w:style>
  <w:style w:type="character" w:customStyle="1" w:styleId="FooterChar">
    <w:name w:val="Footer Char"/>
    <w:basedOn w:val="DefaultParagraphFont"/>
    <w:link w:val="Footer"/>
    <w:uiPriority w:val="99"/>
    <w:rsid w:val="0063497B"/>
  </w:style>
  <w:style w:type="paragraph" w:styleId="NoSpacing">
    <w:name w:val="No Spacing"/>
    <w:uiPriority w:val="1"/>
    <w:qFormat/>
    <w:rsid w:val="00887D7E"/>
    <w:pPr>
      <w:spacing w:after="0" w:line="240" w:lineRule="auto"/>
    </w:pPr>
    <w:rPr>
      <w:rFonts w:ascii="Myriad Pro" w:hAnsi="Myriad Pro"/>
    </w:rPr>
  </w:style>
  <w:style w:type="paragraph" w:customStyle="1" w:styleId="Naslov11">
    <w:name w:val="Naslov 11"/>
    <w:basedOn w:val="Normal"/>
    <w:link w:val="Naslov1Char"/>
    <w:qFormat/>
    <w:rsid w:val="00812D81"/>
    <w:pPr>
      <w:spacing w:line="360" w:lineRule="exact"/>
    </w:pPr>
    <w:rPr>
      <w:b/>
      <w:sz w:val="32"/>
      <w:szCs w:val="36"/>
    </w:rPr>
  </w:style>
  <w:style w:type="paragraph" w:customStyle="1" w:styleId="Naslov21">
    <w:name w:val="Naslov 21"/>
    <w:basedOn w:val="Normal"/>
    <w:link w:val="Naslov2Char"/>
    <w:qFormat/>
    <w:rsid w:val="00812D81"/>
    <w:pPr>
      <w:spacing w:line="360" w:lineRule="exact"/>
    </w:pPr>
    <w:rPr>
      <w:sz w:val="32"/>
      <w:szCs w:val="36"/>
    </w:rPr>
  </w:style>
  <w:style w:type="character" w:customStyle="1" w:styleId="Naslov1Char">
    <w:name w:val="Naslov 1 Char"/>
    <w:basedOn w:val="DefaultParagraphFont"/>
    <w:link w:val="Naslov11"/>
    <w:rsid w:val="00812D81"/>
    <w:rPr>
      <w:rFonts w:ascii="Myriad Pro" w:hAnsi="Myriad Pro"/>
      <w:b/>
      <w:sz w:val="32"/>
      <w:szCs w:val="36"/>
    </w:rPr>
  </w:style>
  <w:style w:type="paragraph" w:customStyle="1" w:styleId="Naslov31">
    <w:name w:val="Naslov 31"/>
    <w:basedOn w:val="Normal"/>
    <w:link w:val="Naslov3Char"/>
    <w:qFormat/>
    <w:rsid w:val="00671853"/>
    <w:rPr>
      <w:b/>
    </w:rPr>
  </w:style>
  <w:style w:type="character" w:customStyle="1" w:styleId="Naslov2Char">
    <w:name w:val="Naslov 2 Char"/>
    <w:basedOn w:val="DefaultParagraphFont"/>
    <w:link w:val="Naslov21"/>
    <w:rsid w:val="00812D81"/>
    <w:rPr>
      <w:rFonts w:ascii="Myriad Pro" w:hAnsi="Myriad Pro"/>
      <w:sz w:val="32"/>
      <w:szCs w:val="36"/>
    </w:rPr>
  </w:style>
  <w:style w:type="paragraph" w:customStyle="1" w:styleId="Dodatneinformacije">
    <w:name w:val="Dodatne informacije"/>
    <w:basedOn w:val="Normal"/>
    <w:link w:val="DodatneinformacijeChar"/>
    <w:qFormat/>
    <w:rsid w:val="00F41E1A"/>
  </w:style>
  <w:style w:type="character" w:customStyle="1" w:styleId="Naslov3Char">
    <w:name w:val="Naslov 3 Char"/>
    <w:basedOn w:val="DefaultParagraphFont"/>
    <w:link w:val="Naslov31"/>
    <w:rsid w:val="00671853"/>
    <w:rPr>
      <w:rFonts w:ascii="Myriad Pro" w:hAnsi="Myriad Pro"/>
      <w:b/>
      <w:sz w:val="21"/>
    </w:rPr>
  </w:style>
  <w:style w:type="paragraph" w:styleId="BalloonText">
    <w:name w:val="Balloon Text"/>
    <w:basedOn w:val="Normal"/>
    <w:link w:val="BalloonTextChar"/>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DefaultParagraphFont"/>
    <w:link w:val="Dodatneinformacije"/>
    <w:rsid w:val="00F41E1A"/>
    <w:rPr>
      <w:rFonts w:ascii="Myriad Pro" w:hAnsi="Myriad Pro"/>
      <w:sz w:val="21"/>
    </w:rPr>
  </w:style>
  <w:style w:type="character" w:customStyle="1" w:styleId="BalloonTextChar">
    <w:name w:val="Balloon Text Char"/>
    <w:basedOn w:val="DefaultParagraphFont"/>
    <w:link w:val="BalloonText"/>
    <w:uiPriority w:val="99"/>
    <w:semiHidden/>
    <w:rsid w:val="00E02749"/>
    <w:rPr>
      <w:rFonts w:ascii="Segoe UI" w:hAnsi="Segoe UI" w:cs="Segoe UI"/>
      <w:sz w:val="18"/>
      <w:szCs w:val="18"/>
    </w:rPr>
  </w:style>
  <w:style w:type="paragraph" w:customStyle="1" w:styleId="Uvod">
    <w:name w:val="Uvod"/>
    <w:basedOn w:val="Naslov31"/>
    <w:link w:val="UvodChar"/>
    <w:qFormat/>
    <w:rsid w:val="00E02749"/>
    <w:pPr>
      <w:spacing w:after="160"/>
    </w:pPr>
  </w:style>
  <w:style w:type="character" w:customStyle="1" w:styleId="UvodChar">
    <w:name w:val="Uvod Char"/>
    <w:basedOn w:val="Naslov3Char"/>
    <w:link w:val="Uvod"/>
    <w:rsid w:val="00E02749"/>
    <w:rPr>
      <w:rFonts w:ascii="Myriad Pro" w:hAnsi="Myriad Pro"/>
      <w:b/>
      <w:sz w:val="21"/>
    </w:rPr>
  </w:style>
  <w:style w:type="table" w:styleId="TableGrid">
    <w:name w:val="Table Grid"/>
    <w:basedOn w:val="TableNormal"/>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DF4F0B"/>
    <w:pPr>
      <w:ind w:left="720"/>
      <w:contextualSpacing/>
    </w:pPr>
  </w:style>
  <w:style w:type="paragraph" w:customStyle="1" w:styleId="Besedilomanjealineje">
    <w:name w:val="Besedilo manjše_alineje"/>
    <w:basedOn w:val="ListParagraph"/>
    <w:link w:val="BesedilomanjealinejeChar"/>
    <w:rsid w:val="00F545EF"/>
    <w:pPr>
      <w:numPr>
        <w:numId w:val="1"/>
      </w:numPr>
      <w:spacing w:line="220" w:lineRule="exact"/>
      <w:ind w:left="170" w:hanging="170"/>
      <w:jc w:val="left"/>
    </w:pPr>
    <w:rPr>
      <w:sz w:val="16"/>
      <w:szCs w:val="16"/>
    </w:rPr>
  </w:style>
  <w:style w:type="character" w:customStyle="1" w:styleId="ListParagraphChar">
    <w:name w:val="List Paragraph Char"/>
    <w:basedOn w:val="DefaultParagraphFont"/>
    <w:link w:val="ListParagraph"/>
    <w:uiPriority w:val="34"/>
    <w:rsid w:val="00133E20"/>
    <w:rPr>
      <w:rFonts w:ascii="Myriad Pro" w:hAnsi="Myriad Pro"/>
      <w:sz w:val="21"/>
    </w:rPr>
  </w:style>
  <w:style w:type="character" w:customStyle="1" w:styleId="BesedilomanjealinejeChar">
    <w:name w:val="Besedilo manjše_alineje Char"/>
    <w:basedOn w:val="ListParagraphChar"/>
    <w:link w:val="Besedilomanjealineje"/>
    <w:rsid w:val="00F545EF"/>
    <w:rPr>
      <w:rFonts w:ascii="Myriad Pro" w:hAnsi="Myriad Pro"/>
      <w:sz w:val="16"/>
      <w:szCs w:val="16"/>
    </w:rPr>
  </w:style>
  <w:style w:type="character" w:styleId="Hyperlink">
    <w:name w:val="Hyperlink"/>
    <w:basedOn w:val="DefaultParagraphFont"/>
    <w:uiPriority w:val="99"/>
    <w:unhideWhenUsed/>
    <w:rsid w:val="00363E63"/>
    <w:rPr>
      <w:color w:val="0563C1" w:themeColor="hyperlink"/>
      <w:u w:val="single"/>
    </w:rPr>
  </w:style>
  <w:style w:type="paragraph" w:styleId="FootnoteText">
    <w:name w:val="footnote text"/>
    <w:aliases w:val="Sprotna opomba_EO, Char Char,Char Char,Sprotna opomba-besedilo,Char Char Char Char,Sprotna opomba - besedilo Znak1,Sprotna opomba - besedilo Znak Znak2,Sprotna opomba - besedilo Znak1 Znak Znak1,fn,Char Ch,o"/>
    <w:basedOn w:val="Normal"/>
    <w:link w:val="FootnoteTextChar"/>
    <w:uiPriority w:val="99"/>
    <w:unhideWhenUsed/>
    <w:qFormat/>
    <w:rsid w:val="00FE7254"/>
    <w:pPr>
      <w:spacing w:line="240" w:lineRule="auto"/>
    </w:pPr>
    <w:rPr>
      <w:sz w:val="16"/>
      <w:szCs w:val="20"/>
    </w:rPr>
  </w:style>
  <w:style w:type="character" w:customStyle="1" w:styleId="FootnoteTextChar">
    <w:name w:val="Footnote Text Char"/>
    <w:aliases w:val="Sprotna opomba_EO Char, Char Char Char,Char Char Char,Sprotna opomba-besedilo Char,Char Char Char Char Char,Sprotna opomba - besedilo Znak1 Char,Sprotna opomba - besedilo Znak Znak2 Char,Sprotna opomba - besedilo Znak1 Znak Znak1 Char"/>
    <w:basedOn w:val="DefaultParagraphFont"/>
    <w:link w:val="FootnoteText"/>
    <w:uiPriority w:val="99"/>
    <w:rsid w:val="00FE7254"/>
    <w:rPr>
      <w:rFonts w:ascii="Myriad Pro" w:hAnsi="Myriad Pro"/>
      <w:sz w:val="16"/>
      <w:szCs w:val="20"/>
    </w:rPr>
  </w:style>
  <w:style w:type="character" w:styleId="FootnoteReference">
    <w:name w:val="footnote reference"/>
    <w:aliases w:val="footnote_EO,Footnote symbol,Fussnota,Footnote,Footnote reference number,note TESI,SUPERS,EN Footnote Reference,-E Fußnotenzeichen,Times 10 Point,Exposant 3 Point,E...,nota de rodapé,Footnote Reference_LVL6,Footnote Reference_LVL61"/>
    <w:basedOn w:val="DefaultParagraphFont"/>
    <w:uiPriority w:val="99"/>
    <w:unhideWhenUsed/>
    <w:qFormat/>
    <w:rsid w:val="00FE7254"/>
    <w:rPr>
      <w:vertAlign w:val="superscript"/>
    </w:rPr>
  </w:style>
  <w:style w:type="character" w:customStyle="1" w:styleId="Nerazreenaomemba1">
    <w:name w:val="Nerazrešena omemba1"/>
    <w:basedOn w:val="DefaultParagraphFont"/>
    <w:uiPriority w:val="99"/>
    <w:semiHidden/>
    <w:unhideWhenUsed/>
    <w:rsid w:val="003A49D8"/>
    <w:rPr>
      <w:color w:val="605E5C"/>
      <w:shd w:val="clear" w:color="auto" w:fill="E1DFDD"/>
    </w:rPr>
  </w:style>
  <w:style w:type="character" w:styleId="CommentReference">
    <w:name w:val="annotation reference"/>
    <w:basedOn w:val="DefaultParagraphFont"/>
    <w:uiPriority w:val="99"/>
    <w:semiHidden/>
    <w:unhideWhenUsed/>
    <w:rsid w:val="00114A03"/>
    <w:rPr>
      <w:sz w:val="16"/>
      <w:szCs w:val="16"/>
    </w:rPr>
  </w:style>
  <w:style w:type="paragraph" w:styleId="CommentText">
    <w:name w:val="annotation text"/>
    <w:basedOn w:val="Normal"/>
    <w:link w:val="CommentTextChar"/>
    <w:uiPriority w:val="99"/>
    <w:semiHidden/>
    <w:unhideWhenUsed/>
    <w:rsid w:val="00114A03"/>
    <w:pPr>
      <w:spacing w:line="240" w:lineRule="auto"/>
    </w:pPr>
    <w:rPr>
      <w:szCs w:val="20"/>
    </w:rPr>
  </w:style>
  <w:style w:type="character" w:customStyle="1" w:styleId="CommentTextChar">
    <w:name w:val="Comment Text Char"/>
    <w:basedOn w:val="DefaultParagraphFont"/>
    <w:link w:val="CommentText"/>
    <w:uiPriority w:val="99"/>
    <w:semiHidden/>
    <w:rsid w:val="00114A03"/>
    <w:rPr>
      <w:rFonts w:ascii="Myriad Pro" w:hAnsi="Myriad Pro"/>
      <w:sz w:val="20"/>
      <w:szCs w:val="20"/>
    </w:rPr>
  </w:style>
  <w:style w:type="paragraph" w:styleId="CommentSubject">
    <w:name w:val="annotation subject"/>
    <w:basedOn w:val="CommentText"/>
    <w:next w:val="CommentText"/>
    <w:link w:val="CommentSubjectChar"/>
    <w:uiPriority w:val="99"/>
    <w:semiHidden/>
    <w:unhideWhenUsed/>
    <w:rsid w:val="00114A03"/>
    <w:rPr>
      <w:b/>
      <w:bCs/>
    </w:rPr>
  </w:style>
  <w:style w:type="character" w:customStyle="1" w:styleId="CommentSubjectChar">
    <w:name w:val="Comment Subject Char"/>
    <w:basedOn w:val="CommentTextChar"/>
    <w:link w:val="CommentSubject"/>
    <w:uiPriority w:val="99"/>
    <w:semiHidden/>
    <w:rsid w:val="00114A03"/>
    <w:rPr>
      <w:rFonts w:ascii="Myriad Pro" w:hAnsi="Myriad Pro"/>
      <w:b/>
      <w:bCs/>
      <w:sz w:val="20"/>
      <w:szCs w:val="20"/>
    </w:rPr>
  </w:style>
  <w:style w:type="paragraph" w:styleId="Revision">
    <w:name w:val="Revision"/>
    <w:hidden/>
    <w:uiPriority w:val="99"/>
    <w:semiHidden/>
    <w:rsid w:val="00B11EE5"/>
    <w:pPr>
      <w:spacing w:after="0" w:line="240" w:lineRule="auto"/>
    </w:pPr>
    <w:rPr>
      <w:rFonts w:ascii="Myriad Pro" w:hAnsi="Myriad Pro"/>
      <w:sz w:val="20"/>
    </w:rPr>
  </w:style>
  <w:style w:type="character" w:styleId="Strong">
    <w:name w:val="Strong"/>
    <w:basedOn w:val="DefaultParagraphFont"/>
    <w:uiPriority w:val="22"/>
    <w:qFormat/>
    <w:rsid w:val="00FF1B8C"/>
    <w:rPr>
      <w:b/>
      <w:bCs/>
    </w:rPr>
  </w:style>
  <w:style w:type="character" w:styleId="Emphasis">
    <w:name w:val="Emphasis"/>
    <w:basedOn w:val="DefaultParagraphFont"/>
    <w:uiPriority w:val="20"/>
    <w:qFormat/>
    <w:rsid w:val="00592EB2"/>
    <w:rPr>
      <w:i/>
      <w:iCs/>
    </w:rPr>
  </w:style>
  <w:style w:type="paragraph" w:customStyle="1" w:styleId="TekstgrafEO">
    <w:name w:val="Tekst graf_EO"/>
    <w:basedOn w:val="Normal"/>
    <w:link w:val="TekstgrafEOChar"/>
    <w:qFormat/>
    <w:rsid w:val="006E5FD0"/>
    <w:pPr>
      <w:spacing w:line="240" w:lineRule="auto"/>
      <w:ind w:left="340"/>
    </w:pPr>
    <w:rPr>
      <w:rFonts w:eastAsia="Times New Roman" w:cs="Times New Roman"/>
      <w:sz w:val="18"/>
      <w:szCs w:val="18"/>
    </w:rPr>
  </w:style>
  <w:style w:type="character" w:customStyle="1" w:styleId="TekstgrafEOChar">
    <w:name w:val="Tekst graf_EO Char"/>
    <w:basedOn w:val="DefaultParagraphFont"/>
    <w:link w:val="TekstgrafEO"/>
    <w:rsid w:val="006E5FD0"/>
    <w:rPr>
      <w:rFonts w:ascii="Myriad Pro" w:eastAsia="Times New Roman" w:hAnsi="Myriad Pro" w:cs="Times New Roman"/>
      <w:sz w:val="18"/>
      <w:szCs w:val="18"/>
    </w:rPr>
  </w:style>
  <w:style w:type="character" w:customStyle="1" w:styleId="Omemba1">
    <w:name w:val="Omemba1"/>
    <w:basedOn w:val="DefaultParagraphFont"/>
    <w:uiPriority w:val="99"/>
    <w:unhideWhenUsed/>
    <w:rsid w:val="00744B8D"/>
    <w:rPr>
      <w:color w:val="2B579A"/>
      <w:shd w:val="clear" w:color="auto" w:fill="E6E6E6"/>
    </w:rPr>
  </w:style>
  <w:style w:type="character" w:customStyle="1" w:styleId="markedcontent">
    <w:name w:val="markedcontent"/>
    <w:basedOn w:val="DefaultParagraphFont"/>
    <w:rsid w:val="00C72A04"/>
  </w:style>
  <w:style w:type="table" w:customStyle="1" w:styleId="Tabelamrea1">
    <w:name w:val="Tabela – mreža1"/>
    <w:basedOn w:val="TableNormal"/>
    <w:next w:val="TableGrid"/>
    <w:uiPriority w:val="39"/>
    <w:rsid w:val="00C72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TableNormal"/>
    <w:next w:val="TableGrid"/>
    <w:uiPriority w:val="39"/>
    <w:rsid w:val="00C72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
    <w:name w:val="Tabela – mreža3"/>
    <w:basedOn w:val="TableNormal"/>
    <w:next w:val="TableGrid"/>
    <w:uiPriority w:val="39"/>
    <w:rsid w:val="00C72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4">
    <w:name w:val="Tabela – mreža4"/>
    <w:basedOn w:val="TableNormal"/>
    <w:next w:val="TableGrid"/>
    <w:uiPriority w:val="39"/>
    <w:rsid w:val="00C72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5">
    <w:name w:val="Tabela – mreža5"/>
    <w:basedOn w:val="TableNormal"/>
    <w:next w:val="TableGrid"/>
    <w:uiPriority w:val="39"/>
    <w:rsid w:val="00C72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6">
    <w:name w:val="Tabela – mreža6"/>
    <w:basedOn w:val="TableNormal"/>
    <w:next w:val="TableGrid"/>
    <w:uiPriority w:val="39"/>
    <w:rsid w:val="00C72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7">
    <w:name w:val="Tabela – mreža7"/>
    <w:basedOn w:val="TableNormal"/>
    <w:next w:val="TableGrid"/>
    <w:uiPriority w:val="39"/>
    <w:rsid w:val="00C72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8">
    <w:name w:val="Tabela – mreža8"/>
    <w:basedOn w:val="TableNormal"/>
    <w:next w:val="TableGrid"/>
    <w:uiPriority w:val="39"/>
    <w:rsid w:val="00C72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9">
    <w:name w:val="Tabela – mreža9"/>
    <w:basedOn w:val="TableNormal"/>
    <w:next w:val="TableGrid"/>
    <w:uiPriority w:val="39"/>
    <w:rsid w:val="00C72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0">
    <w:name w:val="Tabela – mreža10"/>
    <w:basedOn w:val="TableNormal"/>
    <w:next w:val="TableGrid"/>
    <w:uiPriority w:val="39"/>
    <w:rsid w:val="00C72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1">
    <w:name w:val="Tabela – mreža11"/>
    <w:basedOn w:val="TableNormal"/>
    <w:next w:val="TableGrid"/>
    <w:uiPriority w:val="39"/>
    <w:rsid w:val="00C72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2">
    <w:name w:val="Tabela – mreža12"/>
    <w:basedOn w:val="TableNormal"/>
    <w:next w:val="TableGrid"/>
    <w:uiPriority w:val="39"/>
    <w:rsid w:val="00C72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3">
    <w:name w:val="Tabela – mreža13"/>
    <w:basedOn w:val="TableNormal"/>
    <w:next w:val="TableGrid"/>
    <w:uiPriority w:val="39"/>
    <w:rsid w:val="00C72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4">
    <w:name w:val="Tabela – mreža14"/>
    <w:basedOn w:val="TableNormal"/>
    <w:next w:val="TableGrid"/>
    <w:uiPriority w:val="39"/>
    <w:rsid w:val="00B941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5">
    <w:name w:val="Tabela – mreža15"/>
    <w:basedOn w:val="TableNormal"/>
    <w:next w:val="TableGrid"/>
    <w:uiPriority w:val="39"/>
    <w:rsid w:val="00B941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1">
    <w:name w:val="Tabela – mreža21"/>
    <w:basedOn w:val="TableNormal"/>
    <w:next w:val="TableGrid"/>
    <w:uiPriority w:val="39"/>
    <w:rsid w:val="00B941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1">
    <w:name w:val="Tabela – mreža31"/>
    <w:basedOn w:val="TableNormal"/>
    <w:next w:val="TableGrid"/>
    <w:uiPriority w:val="39"/>
    <w:rsid w:val="00B941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01">
    <w:name w:val="Tabela – mreža101"/>
    <w:basedOn w:val="TableNormal"/>
    <w:next w:val="TableGrid"/>
    <w:uiPriority w:val="39"/>
    <w:rsid w:val="00B941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02">
    <w:name w:val="Tabela – mreža102"/>
    <w:basedOn w:val="TableNormal"/>
    <w:next w:val="TableGrid"/>
    <w:uiPriority w:val="39"/>
    <w:rsid w:val="00B941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03">
    <w:name w:val="Tabela – mreža103"/>
    <w:basedOn w:val="TableNormal"/>
    <w:next w:val="TableGrid"/>
    <w:uiPriority w:val="39"/>
    <w:rsid w:val="00B941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razreenaomemba2">
    <w:name w:val="Nerazrešena omemba2"/>
    <w:basedOn w:val="DefaultParagraphFont"/>
    <w:uiPriority w:val="99"/>
    <w:semiHidden/>
    <w:unhideWhenUsed/>
    <w:rsid w:val="008D4C85"/>
    <w:rPr>
      <w:color w:val="605E5C"/>
      <w:shd w:val="clear" w:color="auto" w:fill="E1DFDD"/>
    </w:rPr>
  </w:style>
  <w:style w:type="character" w:customStyle="1" w:styleId="normaltextrun">
    <w:name w:val="normaltextrun"/>
    <w:basedOn w:val="DefaultParagraphFont"/>
    <w:rsid w:val="008D4C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4770BB-4783-4E3B-8171-AE0BFE24E4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579</Words>
  <Characters>3301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2021-11-04T06:39:00Z</dcterms:created>
  <dcterms:modified xsi:type="dcterms:W3CDTF">2021-11-04T06:39:00Z</dcterms:modified>
</cp:coreProperties>
</file>