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D8D87" w14:textId="77777777" w:rsidR="0026694E" w:rsidRPr="0026694E" w:rsidRDefault="0026694E" w:rsidP="0026694E">
      <w:pPr>
        <w:pStyle w:val="Naslov11"/>
      </w:pPr>
      <w:r w:rsidRPr="00763932">
        <w:t>CURRENT ECONOMIC TRENDS</w:t>
      </w:r>
    </w:p>
    <w:p w14:paraId="628B35E7" w14:textId="77777777" w:rsidR="0026694E" w:rsidRPr="00B913B5" w:rsidRDefault="0041619C" w:rsidP="0026694E">
      <w:pPr>
        <w:rPr>
          <w:sz w:val="32"/>
          <w:szCs w:val="36"/>
        </w:rPr>
      </w:pPr>
      <w:r>
        <w:rPr>
          <w:sz w:val="32"/>
          <w:szCs w:val="36"/>
        </w:rPr>
        <w:t>10</w:t>
      </w:r>
      <w:r w:rsidR="0026694E" w:rsidRPr="00B913B5">
        <w:rPr>
          <w:sz w:val="32"/>
          <w:szCs w:val="36"/>
        </w:rPr>
        <w:t>–1</w:t>
      </w:r>
      <w:r>
        <w:rPr>
          <w:sz w:val="32"/>
          <w:szCs w:val="36"/>
        </w:rPr>
        <w:t>4</w:t>
      </w:r>
      <w:r w:rsidR="0026694E" w:rsidRPr="00B913B5">
        <w:rPr>
          <w:sz w:val="32"/>
          <w:szCs w:val="36"/>
        </w:rPr>
        <w:t xml:space="preserve"> </w:t>
      </w:r>
      <w:proofErr w:type="spellStart"/>
      <w:r>
        <w:rPr>
          <w:sz w:val="32"/>
          <w:szCs w:val="36"/>
        </w:rPr>
        <w:t>January</w:t>
      </w:r>
      <w:proofErr w:type="spellEnd"/>
      <w:r w:rsidR="0026694E" w:rsidRPr="00B913B5">
        <w:rPr>
          <w:sz w:val="32"/>
          <w:szCs w:val="36"/>
        </w:rPr>
        <w:t xml:space="preserve"> 20</w:t>
      </w:r>
      <w:r>
        <w:rPr>
          <w:sz w:val="32"/>
          <w:szCs w:val="36"/>
        </w:rPr>
        <w:t>22</w:t>
      </w:r>
    </w:p>
    <w:p w14:paraId="119FD229" w14:textId="77777777" w:rsidR="00DF4F0B" w:rsidRDefault="00DF4F0B"/>
    <w:p w14:paraId="3B4E304F" w14:textId="77777777" w:rsidR="00F0731A" w:rsidRPr="00F0731A" w:rsidRDefault="00F0731A" w:rsidP="00F0731A">
      <w:pPr>
        <w:tabs>
          <w:tab w:val="left" w:pos="580"/>
        </w:tabs>
        <w:rPr>
          <w:lang w:val="en-GB"/>
        </w:rPr>
      </w:pPr>
      <w:bookmarkStart w:id="0" w:name="_Hlk54096721"/>
      <w:r w:rsidRPr="00F0731A">
        <w:rPr>
          <w:lang w:val="en-GB"/>
        </w:rPr>
        <w:t>The end of last year and the beginning of this year were marked by increased economic activity. Turnover based on fiscal verification of invoices at the end of December last year and at the beginning of this year was 60% higher year-on-year and was also higher than turnover at the turn of 2019 to 2020. Electricity consumption by consumption groups as an indicator of economic activity was also higher in December 2021 than in the previous two years in all consumption groups. Manufacturing production increased significantly in November, rising by 11.3% over the past twelve months. Activity in construction, which fluctuates widely across segments from month to month, remained below late 2020 and early 2021 levels in November. However, high price growth in construction services continued due to rising commodity prices and labour shortages. Rising import prices and increased domestic demand have led to a decline in the current account surplus.</w:t>
      </w:r>
    </w:p>
    <w:bookmarkEnd w:id="0"/>
    <w:p w14:paraId="41A01021" w14:textId="77777777" w:rsidR="006D04BC" w:rsidRDefault="006D04BC" w:rsidP="006D04BC">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D04BC" w14:paraId="2F2F11E4" w14:textId="77777777" w:rsidTr="00C90DAA">
        <w:trPr>
          <w:trHeight w:val="207"/>
        </w:trPr>
        <w:tc>
          <w:tcPr>
            <w:tcW w:w="4819" w:type="dxa"/>
            <w:tcBorders>
              <w:bottom w:val="single" w:sz="4" w:space="0" w:color="auto"/>
            </w:tcBorders>
            <w:tcMar>
              <w:left w:w="0" w:type="dxa"/>
            </w:tcMar>
          </w:tcPr>
          <w:p w14:paraId="34979C21" w14:textId="77777777" w:rsidR="006D04BC" w:rsidRPr="007A0B59" w:rsidRDefault="00F0731A" w:rsidP="001A2CB5">
            <w:pPr>
              <w:pStyle w:val="Naslov31"/>
              <w:jc w:val="left"/>
            </w:pPr>
            <w:r w:rsidRPr="00F0731A">
              <w:rPr>
                <w:lang w:val="en-GB"/>
              </w:rPr>
              <w:t>Production volume in manufacturing, November 2021</w:t>
            </w:r>
          </w:p>
        </w:tc>
        <w:tc>
          <w:tcPr>
            <w:tcW w:w="4820" w:type="dxa"/>
            <w:gridSpan w:val="2"/>
            <w:tcBorders>
              <w:bottom w:val="single" w:sz="4" w:space="0" w:color="auto"/>
            </w:tcBorders>
          </w:tcPr>
          <w:p w14:paraId="374D652C" w14:textId="77777777" w:rsidR="006D04BC" w:rsidRPr="007A0B59" w:rsidRDefault="006D04BC" w:rsidP="00C90DAA">
            <w:pPr>
              <w:pStyle w:val="Naslov31"/>
            </w:pPr>
          </w:p>
        </w:tc>
      </w:tr>
      <w:tr w:rsidR="006D04BC" w14:paraId="43D7F3E5" w14:textId="77777777" w:rsidTr="00C90DAA">
        <w:trPr>
          <w:trHeight w:val="1134"/>
        </w:trPr>
        <w:tc>
          <w:tcPr>
            <w:tcW w:w="4982" w:type="dxa"/>
            <w:gridSpan w:val="2"/>
            <w:tcBorders>
              <w:top w:val="single" w:sz="4" w:space="0" w:color="auto"/>
            </w:tcBorders>
            <w:tcMar>
              <w:left w:w="0" w:type="dxa"/>
            </w:tcMar>
          </w:tcPr>
          <w:p w14:paraId="3BCE278D" w14:textId="77777777" w:rsidR="006D04BC" w:rsidRDefault="0048090C" w:rsidP="00C90DAA">
            <w:pPr>
              <w:pStyle w:val="Odstavekseznama"/>
              <w:ind w:left="0"/>
            </w:pPr>
            <w:r>
              <w:rPr>
                <w:noProof/>
              </w:rPr>
              <w:drawing>
                <wp:inline distT="0" distB="0" distL="0" distR="0" wp14:anchorId="7614CADA" wp14:editId="16B70BE7">
                  <wp:extent cx="3154680" cy="2505456"/>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4680" cy="2505456"/>
                          </a:xfrm>
                          <a:prstGeom prst="rect">
                            <a:avLst/>
                          </a:prstGeom>
                          <a:noFill/>
                        </pic:spPr>
                      </pic:pic>
                    </a:graphicData>
                  </a:graphic>
                </wp:inline>
              </w:drawing>
            </w:r>
          </w:p>
        </w:tc>
        <w:tc>
          <w:tcPr>
            <w:tcW w:w="4657" w:type="dxa"/>
            <w:tcBorders>
              <w:top w:val="single" w:sz="4" w:space="0" w:color="auto"/>
            </w:tcBorders>
            <w:tcMar>
              <w:left w:w="284" w:type="dxa"/>
            </w:tcMar>
          </w:tcPr>
          <w:p w14:paraId="6ED03040" w14:textId="77777777" w:rsidR="006D04BC" w:rsidRPr="00DF4F0B" w:rsidRDefault="00F0731A" w:rsidP="00C90DAA">
            <w:r w:rsidRPr="00F0731A">
              <w:rPr>
                <w:b/>
                <w:bCs/>
                <w:lang w:val="en-GB"/>
              </w:rPr>
              <w:t xml:space="preserve">Manufacturing production growth was relatively high again in November after stagnating in the previous month. </w:t>
            </w:r>
            <w:r w:rsidRPr="00F0731A">
              <w:rPr>
                <w:lang w:val="en-GB"/>
              </w:rPr>
              <w:t xml:space="preserve">Growth continued in medium-technology industries, and high-technology industries also recorded an increase. However, growth in low-technology industries came to a </w:t>
            </w:r>
            <w:proofErr w:type="gramStart"/>
            <w:r w:rsidRPr="00F0731A">
              <w:rPr>
                <w:lang w:val="en-GB"/>
              </w:rPr>
              <w:t>halt </w:t>
            </w:r>
            <w:r w:rsidRPr="00F0731A" w:rsidDel="00D305D3">
              <w:rPr>
                <w:lang w:val="en-GB"/>
              </w:rPr>
              <w:t xml:space="preserve"> </w:t>
            </w:r>
            <w:r w:rsidRPr="00F0731A">
              <w:rPr>
                <w:lang w:val="en-GB"/>
              </w:rPr>
              <w:t>and</w:t>
            </w:r>
            <w:proofErr w:type="gramEnd"/>
            <w:r w:rsidRPr="00F0731A">
              <w:rPr>
                <w:lang w:val="en-GB"/>
              </w:rPr>
              <w:t xml:space="preserve"> even recorded a moderate decline. Year-on-year increase in production volume in manufacturing was again quite high (11.3%), strongest in low-technology industries, mainly due to the low base last year in other manufacturing</w:t>
            </w:r>
            <w:r w:rsidRPr="00F0731A">
              <w:rPr>
                <w:vertAlign w:val="superscript"/>
                <w:lang w:val="en-GB"/>
              </w:rPr>
              <w:footnoteReference w:id="1"/>
            </w:r>
            <w:r w:rsidRPr="00F0731A">
              <w:rPr>
                <w:lang w:val="en-GB"/>
              </w:rPr>
              <w:t>. The lowest year-on-year growth was again recorded in medium-high technology industries. In the case of the latter, growth was mainly affected by developments in the automotive industry, where production volumes are even lower year-on-year due to supply chain disruptions and uncertainty about the future development of the industry in the context of the green transition.</w:t>
            </w:r>
          </w:p>
        </w:tc>
      </w:tr>
    </w:tbl>
    <w:p w14:paraId="4EB480B7" w14:textId="77777777" w:rsidR="006D04BC" w:rsidRDefault="006D04BC" w:rsidP="006D04BC">
      <w:pPr>
        <w:tabs>
          <w:tab w:val="left" w:pos="580"/>
        </w:tabs>
      </w:pPr>
    </w:p>
    <w:p w14:paraId="7DBAD53A" w14:textId="77777777" w:rsidR="00F0731A" w:rsidRDefault="00F0731A" w:rsidP="006D04BC">
      <w:pPr>
        <w:tabs>
          <w:tab w:val="left" w:pos="580"/>
        </w:tabs>
      </w:pPr>
    </w:p>
    <w:p w14:paraId="03930FBB" w14:textId="77777777" w:rsidR="00F0731A" w:rsidRDefault="00F0731A" w:rsidP="006D04BC">
      <w:pPr>
        <w:tabs>
          <w:tab w:val="left" w:pos="580"/>
        </w:tabs>
      </w:pPr>
    </w:p>
    <w:p w14:paraId="3BCF1D93" w14:textId="77777777" w:rsidR="00F0731A" w:rsidRDefault="00F0731A" w:rsidP="006D04BC">
      <w:pPr>
        <w:tabs>
          <w:tab w:val="left" w:pos="580"/>
        </w:tabs>
      </w:pPr>
    </w:p>
    <w:p w14:paraId="13AE636D" w14:textId="77777777" w:rsidR="00F0731A" w:rsidRDefault="00F0731A" w:rsidP="006D04BC">
      <w:pPr>
        <w:tabs>
          <w:tab w:val="left" w:pos="580"/>
        </w:tabs>
      </w:pPr>
    </w:p>
    <w:p w14:paraId="242909F7" w14:textId="77777777" w:rsidR="00F0731A" w:rsidRDefault="00F0731A" w:rsidP="006D04BC">
      <w:pPr>
        <w:tabs>
          <w:tab w:val="left" w:pos="580"/>
        </w:tabs>
      </w:pPr>
    </w:p>
    <w:p w14:paraId="55701981" w14:textId="77777777" w:rsidR="00F0731A" w:rsidRDefault="00F0731A" w:rsidP="006D04BC">
      <w:pPr>
        <w:tabs>
          <w:tab w:val="left" w:pos="580"/>
        </w:tabs>
      </w:pPr>
    </w:p>
    <w:p w14:paraId="488F3C5C" w14:textId="77777777" w:rsidR="00F0731A" w:rsidRDefault="00F0731A" w:rsidP="006D04BC">
      <w:pPr>
        <w:tabs>
          <w:tab w:val="left" w:pos="580"/>
        </w:tabs>
      </w:pPr>
    </w:p>
    <w:p w14:paraId="3A0B6EBD" w14:textId="77777777" w:rsidR="0007153E" w:rsidRDefault="0007153E" w:rsidP="006D04BC">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D04BC" w14:paraId="28758E7E" w14:textId="77777777" w:rsidTr="00C90DAA">
        <w:trPr>
          <w:trHeight w:val="207"/>
        </w:trPr>
        <w:tc>
          <w:tcPr>
            <w:tcW w:w="4819" w:type="dxa"/>
            <w:tcBorders>
              <w:bottom w:val="single" w:sz="4" w:space="0" w:color="auto"/>
            </w:tcBorders>
            <w:tcMar>
              <w:left w:w="0" w:type="dxa"/>
            </w:tcMar>
          </w:tcPr>
          <w:p w14:paraId="63A40FEA" w14:textId="77777777" w:rsidR="006D04BC" w:rsidRPr="006C2117" w:rsidRDefault="00F0731A" w:rsidP="001A2CB5">
            <w:pPr>
              <w:pStyle w:val="Naslov31"/>
              <w:jc w:val="left"/>
            </w:pPr>
            <w:r w:rsidRPr="00F0731A">
              <w:rPr>
                <w:lang w:val="en-GB"/>
              </w:rPr>
              <w:lastRenderedPageBreak/>
              <w:t>The balance of payments, November 2021</w:t>
            </w:r>
          </w:p>
        </w:tc>
        <w:tc>
          <w:tcPr>
            <w:tcW w:w="4820" w:type="dxa"/>
            <w:gridSpan w:val="2"/>
            <w:tcBorders>
              <w:bottom w:val="single" w:sz="4" w:space="0" w:color="auto"/>
            </w:tcBorders>
          </w:tcPr>
          <w:p w14:paraId="28037A3F" w14:textId="77777777" w:rsidR="006D04BC" w:rsidRPr="006C2117" w:rsidRDefault="006D04BC" w:rsidP="00C90DAA">
            <w:pPr>
              <w:pStyle w:val="Naslov31"/>
            </w:pPr>
          </w:p>
        </w:tc>
      </w:tr>
      <w:tr w:rsidR="006D04BC" w14:paraId="73484070" w14:textId="77777777" w:rsidTr="00C90DAA">
        <w:trPr>
          <w:trHeight w:val="1134"/>
        </w:trPr>
        <w:tc>
          <w:tcPr>
            <w:tcW w:w="4982" w:type="dxa"/>
            <w:gridSpan w:val="2"/>
            <w:tcBorders>
              <w:top w:val="single" w:sz="4" w:space="0" w:color="auto"/>
            </w:tcBorders>
            <w:tcMar>
              <w:left w:w="0" w:type="dxa"/>
            </w:tcMar>
          </w:tcPr>
          <w:p w14:paraId="40E835D0" w14:textId="77777777" w:rsidR="006D04BC" w:rsidRDefault="0048090C" w:rsidP="00C90DAA">
            <w:pPr>
              <w:pStyle w:val="Odstavekseznama"/>
              <w:ind w:left="0"/>
            </w:pPr>
            <w:r>
              <w:rPr>
                <w:noProof/>
              </w:rPr>
              <w:drawing>
                <wp:inline distT="0" distB="0" distL="0" distR="0" wp14:anchorId="07505664" wp14:editId="300EFA05">
                  <wp:extent cx="3090672" cy="253288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0672" cy="2532888"/>
                          </a:xfrm>
                          <a:prstGeom prst="rect">
                            <a:avLst/>
                          </a:prstGeom>
                          <a:noFill/>
                        </pic:spPr>
                      </pic:pic>
                    </a:graphicData>
                  </a:graphic>
                </wp:inline>
              </w:drawing>
            </w:r>
          </w:p>
        </w:tc>
        <w:tc>
          <w:tcPr>
            <w:tcW w:w="4657" w:type="dxa"/>
            <w:tcBorders>
              <w:top w:val="single" w:sz="4" w:space="0" w:color="auto"/>
            </w:tcBorders>
            <w:tcMar>
              <w:left w:w="284" w:type="dxa"/>
            </w:tcMar>
          </w:tcPr>
          <w:p w14:paraId="276555B0" w14:textId="77777777" w:rsidR="00F0731A" w:rsidRPr="00F0731A" w:rsidRDefault="00F0731A" w:rsidP="00F0731A">
            <w:pPr>
              <w:rPr>
                <w:lang w:val="en-GB"/>
              </w:rPr>
            </w:pPr>
            <w:r w:rsidRPr="00F0731A">
              <w:rPr>
                <w:b/>
                <w:lang w:val="en-GB"/>
              </w:rPr>
              <w:t>The current account surplus in the 12 months to November 2021 was down year-on-year, totalling EUR 1.8 billion (3.5% of estimated GDP).</w:t>
            </w:r>
            <w:r w:rsidRPr="00F0731A">
              <w:rPr>
                <w:lang w:val="en-GB"/>
              </w:rPr>
              <w:t xml:space="preserve"> This was mainly due to a smaller trade surplus as imports of goods grew faster than exports in the face of stronger domestic consumption and deteriorating terms of trade. Primary and secondary income deficits were also higher. Net outflows of primary income continued to rise, mainly due to higher net payments of income on equity. Net outflows of secondary income were higher mainly due to higher VAT- and GNI-based contributions to the EU budget. The surplus in services trade was higher year-on-year, especially in trade in construction services and trade in higher value-added services (research and development services and telecommunications, computer and information services).</w:t>
            </w:r>
          </w:p>
          <w:p w14:paraId="759514B4" w14:textId="77777777" w:rsidR="006D04BC" w:rsidRPr="00F0731A" w:rsidRDefault="006D04BC" w:rsidP="00C90DAA">
            <w:pPr>
              <w:rPr>
                <w:lang w:val="en-GB"/>
              </w:rPr>
            </w:pPr>
          </w:p>
        </w:tc>
      </w:tr>
      <w:tr w:rsidR="006D04BC" w14:paraId="62E3B0BD" w14:textId="77777777" w:rsidTr="00C90DAA">
        <w:trPr>
          <w:trHeight w:val="207"/>
        </w:trPr>
        <w:tc>
          <w:tcPr>
            <w:tcW w:w="4819" w:type="dxa"/>
            <w:tcBorders>
              <w:bottom w:val="single" w:sz="4" w:space="0" w:color="auto"/>
            </w:tcBorders>
            <w:tcMar>
              <w:left w:w="0" w:type="dxa"/>
            </w:tcMar>
          </w:tcPr>
          <w:p w14:paraId="35DCFD0D" w14:textId="77777777" w:rsidR="00F0731A" w:rsidRDefault="00F0731A" w:rsidP="001A2CB5">
            <w:pPr>
              <w:pStyle w:val="Naslov31"/>
              <w:jc w:val="left"/>
            </w:pPr>
          </w:p>
          <w:p w14:paraId="79E4B901" w14:textId="77777777" w:rsidR="00F0731A" w:rsidRDefault="00F0731A" w:rsidP="001A2CB5">
            <w:pPr>
              <w:pStyle w:val="Naslov31"/>
              <w:jc w:val="left"/>
            </w:pPr>
          </w:p>
          <w:p w14:paraId="569A6109" w14:textId="77777777" w:rsidR="006D04BC" w:rsidRPr="007A0B59" w:rsidRDefault="00F0731A" w:rsidP="001A2CB5">
            <w:pPr>
              <w:pStyle w:val="Naslov31"/>
              <w:jc w:val="left"/>
            </w:pPr>
            <w:r w:rsidRPr="00F0731A">
              <w:rPr>
                <w:lang w:val="en-GB"/>
              </w:rPr>
              <w:t>Road and rail freight transport – Q3 2021</w:t>
            </w:r>
          </w:p>
        </w:tc>
        <w:tc>
          <w:tcPr>
            <w:tcW w:w="4820" w:type="dxa"/>
            <w:gridSpan w:val="2"/>
            <w:tcBorders>
              <w:bottom w:val="single" w:sz="4" w:space="0" w:color="auto"/>
            </w:tcBorders>
          </w:tcPr>
          <w:p w14:paraId="7B8971E7" w14:textId="77777777" w:rsidR="006D04BC" w:rsidRPr="007A0B59" w:rsidRDefault="006D04BC" w:rsidP="00C90DAA">
            <w:pPr>
              <w:pStyle w:val="Naslov31"/>
            </w:pPr>
          </w:p>
        </w:tc>
      </w:tr>
      <w:tr w:rsidR="006D04BC" w14:paraId="74C51E31" w14:textId="77777777" w:rsidTr="00C90DAA">
        <w:trPr>
          <w:trHeight w:val="1134"/>
        </w:trPr>
        <w:tc>
          <w:tcPr>
            <w:tcW w:w="4982" w:type="dxa"/>
            <w:gridSpan w:val="2"/>
            <w:tcBorders>
              <w:top w:val="single" w:sz="4" w:space="0" w:color="auto"/>
            </w:tcBorders>
            <w:tcMar>
              <w:left w:w="0" w:type="dxa"/>
            </w:tcMar>
          </w:tcPr>
          <w:p w14:paraId="54002C62" w14:textId="77777777" w:rsidR="006D04BC" w:rsidRDefault="0048090C" w:rsidP="00C90DAA">
            <w:pPr>
              <w:pStyle w:val="Odstavekseznama"/>
              <w:ind w:left="0"/>
            </w:pPr>
            <w:r>
              <w:rPr>
                <w:noProof/>
              </w:rPr>
              <w:drawing>
                <wp:inline distT="0" distB="0" distL="0" distR="0" wp14:anchorId="499A546D" wp14:editId="40A5C5CB">
                  <wp:extent cx="3017520" cy="253288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520" cy="2532888"/>
                          </a:xfrm>
                          <a:prstGeom prst="rect">
                            <a:avLst/>
                          </a:prstGeom>
                          <a:noFill/>
                        </pic:spPr>
                      </pic:pic>
                    </a:graphicData>
                  </a:graphic>
                </wp:inline>
              </w:drawing>
            </w:r>
          </w:p>
        </w:tc>
        <w:tc>
          <w:tcPr>
            <w:tcW w:w="4657" w:type="dxa"/>
            <w:tcBorders>
              <w:top w:val="single" w:sz="4" w:space="0" w:color="auto"/>
            </w:tcBorders>
            <w:tcMar>
              <w:left w:w="284" w:type="dxa"/>
            </w:tcMar>
          </w:tcPr>
          <w:p w14:paraId="25B390C2" w14:textId="77777777" w:rsidR="006D04BC" w:rsidRPr="00DF4F0B" w:rsidRDefault="00F0731A" w:rsidP="00C90DAA">
            <w:r w:rsidRPr="00F0731A">
              <w:rPr>
                <w:b/>
                <w:lang w:val="en-GB"/>
              </w:rPr>
              <w:t xml:space="preserve">The volume of road and rail freight transport decreased slightly in the third quarter of 2021, while the volume of road transport remained high. </w:t>
            </w:r>
            <w:r w:rsidRPr="00F0731A">
              <w:rPr>
                <w:lang w:val="en-GB"/>
              </w:rPr>
              <w:t>Due to low base before the second wave of the epidemic last year, the volume of road traffic was almost a tenth higher year-on-year and was also slightly higher than in the third quarter of 2019. Compared to the previous quarter, the volume of road transport performed by Slovenian road freight operators abroad increased by 2%, while the volume of road transport performed at least partially on Slovenian territory (exports, imports and domestic transport combined) decreased by 5%. Rail freight transport, which had been declining before the epidemic, increased slightly year-on-year, but was 12% lower than in the same period of the year before the epidemic.</w:t>
            </w:r>
          </w:p>
        </w:tc>
      </w:tr>
    </w:tbl>
    <w:p w14:paraId="49243516" w14:textId="77777777" w:rsidR="006D04BC" w:rsidRDefault="006D04BC" w:rsidP="006D04BC">
      <w:pPr>
        <w:tabs>
          <w:tab w:val="left" w:pos="580"/>
        </w:tabs>
      </w:pPr>
    </w:p>
    <w:p w14:paraId="0D156D6E" w14:textId="77777777" w:rsidR="00F0731A" w:rsidRDefault="00F0731A" w:rsidP="006D04BC">
      <w:pPr>
        <w:tabs>
          <w:tab w:val="left" w:pos="580"/>
        </w:tabs>
      </w:pPr>
    </w:p>
    <w:p w14:paraId="0A13BFAC" w14:textId="77777777" w:rsidR="00F0731A" w:rsidRDefault="00F0731A" w:rsidP="006D04BC">
      <w:pPr>
        <w:tabs>
          <w:tab w:val="left" w:pos="580"/>
        </w:tabs>
      </w:pPr>
    </w:p>
    <w:p w14:paraId="32ACF17E" w14:textId="77777777" w:rsidR="00F0731A" w:rsidRDefault="00F0731A" w:rsidP="006D04BC">
      <w:pPr>
        <w:tabs>
          <w:tab w:val="left" w:pos="580"/>
        </w:tabs>
      </w:pPr>
    </w:p>
    <w:p w14:paraId="2FB9379B" w14:textId="77777777" w:rsidR="00F0731A" w:rsidRDefault="00F0731A" w:rsidP="006D04BC">
      <w:pPr>
        <w:tabs>
          <w:tab w:val="left" w:pos="580"/>
        </w:tabs>
      </w:pPr>
    </w:p>
    <w:p w14:paraId="6F96FE10" w14:textId="77777777" w:rsidR="00F0731A" w:rsidRDefault="00F0731A" w:rsidP="006D04BC">
      <w:pPr>
        <w:tabs>
          <w:tab w:val="left" w:pos="580"/>
        </w:tabs>
      </w:pPr>
    </w:p>
    <w:p w14:paraId="0E9D93F7" w14:textId="77777777" w:rsidR="00F0731A" w:rsidRDefault="00F0731A" w:rsidP="006D04BC">
      <w:pPr>
        <w:tabs>
          <w:tab w:val="left" w:pos="580"/>
        </w:tabs>
      </w:pPr>
    </w:p>
    <w:p w14:paraId="4E4230CA" w14:textId="77777777" w:rsidR="00F0731A" w:rsidRDefault="00F0731A" w:rsidP="006D04BC">
      <w:pPr>
        <w:tabs>
          <w:tab w:val="left" w:pos="580"/>
        </w:tabs>
      </w:pPr>
    </w:p>
    <w:p w14:paraId="5C5688DA" w14:textId="77777777" w:rsidR="00F0731A" w:rsidRDefault="00F0731A" w:rsidP="006D04BC">
      <w:pPr>
        <w:tabs>
          <w:tab w:val="left" w:pos="580"/>
        </w:tabs>
      </w:pPr>
    </w:p>
    <w:p w14:paraId="7ECCFA5E" w14:textId="77777777" w:rsidR="00F0731A" w:rsidRDefault="00F0731A" w:rsidP="006D04BC">
      <w:pPr>
        <w:tabs>
          <w:tab w:val="left" w:pos="580"/>
        </w:tabs>
      </w:pPr>
    </w:p>
    <w:p w14:paraId="18ADECED" w14:textId="77777777" w:rsidR="00F0731A" w:rsidRDefault="00F0731A" w:rsidP="006D04BC">
      <w:pPr>
        <w:tabs>
          <w:tab w:val="left" w:pos="580"/>
        </w:tabs>
      </w:pPr>
    </w:p>
    <w:p w14:paraId="6366EE7A" w14:textId="77777777" w:rsidR="00F0731A" w:rsidRDefault="00F0731A" w:rsidP="006D04BC">
      <w:pPr>
        <w:tabs>
          <w:tab w:val="left" w:pos="580"/>
        </w:tabs>
      </w:pPr>
    </w:p>
    <w:p w14:paraId="7ED7A8DD" w14:textId="77777777" w:rsidR="00F0731A" w:rsidRDefault="00F0731A" w:rsidP="006D04BC">
      <w:pPr>
        <w:tabs>
          <w:tab w:val="left" w:pos="580"/>
        </w:tabs>
      </w:pPr>
    </w:p>
    <w:p w14:paraId="327631BA" w14:textId="77777777" w:rsidR="00F0731A" w:rsidRDefault="00F0731A" w:rsidP="006D04BC">
      <w:pPr>
        <w:tabs>
          <w:tab w:val="left" w:pos="580"/>
        </w:tabs>
      </w:pPr>
    </w:p>
    <w:p w14:paraId="7B5E87C1" w14:textId="77777777" w:rsidR="00F0731A" w:rsidRDefault="00F0731A" w:rsidP="006D04BC">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F0731A" w14:paraId="07F08761" w14:textId="77777777" w:rsidTr="00077D1B">
        <w:trPr>
          <w:trHeight w:val="207"/>
        </w:trPr>
        <w:tc>
          <w:tcPr>
            <w:tcW w:w="4819" w:type="dxa"/>
            <w:tcBorders>
              <w:bottom w:val="single" w:sz="4" w:space="0" w:color="auto"/>
            </w:tcBorders>
            <w:tcMar>
              <w:left w:w="0" w:type="dxa"/>
            </w:tcMar>
          </w:tcPr>
          <w:p w14:paraId="748AF97C" w14:textId="77777777" w:rsidR="00F0731A" w:rsidRPr="006C2117" w:rsidRDefault="0037165F" w:rsidP="00077D1B">
            <w:pPr>
              <w:pStyle w:val="Naslov31"/>
              <w:jc w:val="left"/>
            </w:pPr>
            <w:r w:rsidRPr="0037165F">
              <w:rPr>
                <w:lang w:val="en-GB"/>
              </w:rPr>
              <w:lastRenderedPageBreak/>
              <w:t>The value of construction output, November 2021</w:t>
            </w:r>
          </w:p>
        </w:tc>
        <w:tc>
          <w:tcPr>
            <w:tcW w:w="4820" w:type="dxa"/>
            <w:gridSpan w:val="2"/>
            <w:tcBorders>
              <w:bottom w:val="single" w:sz="4" w:space="0" w:color="auto"/>
            </w:tcBorders>
          </w:tcPr>
          <w:p w14:paraId="12920C5A" w14:textId="77777777" w:rsidR="00F0731A" w:rsidRPr="006C2117" w:rsidRDefault="00F0731A" w:rsidP="00077D1B">
            <w:pPr>
              <w:pStyle w:val="Naslov31"/>
            </w:pPr>
          </w:p>
        </w:tc>
      </w:tr>
      <w:tr w:rsidR="00F0731A" w14:paraId="30924B7C" w14:textId="77777777" w:rsidTr="00077D1B">
        <w:trPr>
          <w:trHeight w:val="1134"/>
        </w:trPr>
        <w:tc>
          <w:tcPr>
            <w:tcW w:w="4982" w:type="dxa"/>
            <w:gridSpan w:val="2"/>
            <w:tcBorders>
              <w:top w:val="single" w:sz="4" w:space="0" w:color="auto"/>
            </w:tcBorders>
            <w:tcMar>
              <w:left w:w="0" w:type="dxa"/>
            </w:tcMar>
          </w:tcPr>
          <w:p w14:paraId="31864DEF" w14:textId="77777777" w:rsidR="00F0731A" w:rsidRDefault="00F0731A" w:rsidP="00077D1B">
            <w:pPr>
              <w:pStyle w:val="Odstavekseznama"/>
              <w:ind w:left="0"/>
            </w:pPr>
            <w:r>
              <w:rPr>
                <w:noProof/>
              </w:rPr>
              <w:drawing>
                <wp:inline distT="0" distB="0" distL="0" distR="0" wp14:anchorId="32A1E1AD" wp14:editId="075B7707">
                  <wp:extent cx="3191256" cy="2578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1256" cy="2578608"/>
                          </a:xfrm>
                          <a:prstGeom prst="rect">
                            <a:avLst/>
                          </a:prstGeom>
                          <a:noFill/>
                        </pic:spPr>
                      </pic:pic>
                    </a:graphicData>
                  </a:graphic>
                </wp:inline>
              </w:drawing>
            </w:r>
          </w:p>
        </w:tc>
        <w:tc>
          <w:tcPr>
            <w:tcW w:w="4657" w:type="dxa"/>
            <w:tcBorders>
              <w:top w:val="single" w:sz="4" w:space="0" w:color="auto"/>
            </w:tcBorders>
            <w:tcMar>
              <w:left w:w="284" w:type="dxa"/>
            </w:tcMar>
          </w:tcPr>
          <w:p w14:paraId="08689E6C" w14:textId="77777777" w:rsidR="00F0731A" w:rsidRPr="0037165F" w:rsidRDefault="0037165F" w:rsidP="00077D1B">
            <w:pPr>
              <w:rPr>
                <w:b/>
                <w:lang w:val="en-GB"/>
              </w:rPr>
            </w:pPr>
            <w:r w:rsidRPr="0037165F">
              <w:rPr>
                <w:b/>
                <w:lang w:val="en-GB"/>
              </w:rPr>
              <w:t xml:space="preserve">Construction activity increased slightly last November, but was still lower than in late 2020 and early 2021. </w:t>
            </w:r>
            <w:r w:rsidRPr="0037165F">
              <w:rPr>
                <w:lang w:val="en-GB"/>
              </w:rPr>
              <w:t xml:space="preserve">Activity in the individual construction segments fluctuates strongly from month to month. Activity in civil engineering works and specialised construction remains at the level of the beginning of 2021 due to the aforementioned fluctuations. Activity in residential construction and especially in non-residential construction is declining. The stock of contracts fluctuates similarly from month to month. The latter had risen roughly until July 2021, fallen sharply in August, then risen again in the following months and reached </w:t>
            </w:r>
            <w:proofErr w:type="gramStart"/>
            <w:r w:rsidRPr="0037165F">
              <w:rPr>
                <w:lang w:val="en-GB"/>
              </w:rPr>
              <w:t>its  highest</w:t>
            </w:r>
            <w:proofErr w:type="gramEnd"/>
            <w:r w:rsidRPr="0037165F">
              <w:rPr>
                <w:lang w:val="en-GB"/>
              </w:rPr>
              <w:t xml:space="preserve"> level in recent years in November. Construction prices rose sharply last year under the pressure of rising commodity prices (and shortage of labour). The implicit deflator of the value of completed construction works (used to measure prices in the construction sector) was almost 9% in November 2021, the highest level in the last 12 yea</w:t>
            </w:r>
            <w:r>
              <w:rPr>
                <w:lang w:val="en-GB"/>
              </w:rPr>
              <w:t>rs.</w:t>
            </w:r>
          </w:p>
        </w:tc>
      </w:tr>
    </w:tbl>
    <w:p w14:paraId="77669B00" w14:textId="77777777" w:rsidR="00F0731A" w:rsidRDefault="00F0731A" w:rsidP="006D04BC">
      <w:pPr>
        <w:tabs>
          <w:tab w:val="left" w:pos="580"/>
        </w:tabs>
      </w:pPr>
    </w:p>
    <w:p w14:paraId="36554FBA" w14:textId="77777777" w:rsidR="00F0731A" w:rsidRDefault="00F0731A" w:rsidP="006D04BC">
      <w:pPr>
        <w:tabs>
          <w:tab w:val="left" w:pos="580"/>
        </w:tabs>
      </w:pPr>
    </w:p>
    <w:p w14:paraId="01E06ED0" w14:textId="77777777" w:rsidR="00F0731A" w:rsidRDefault="00F0731A" w:rsidP="006D04BC">
      <w:pPr>
        <w:tabs>
          <w:tab w:val="left" w:pos="580"/>
        </w:tabs>
      </w:pPr>
    </w:p>
    <w:p w14:paraId="1A07C5AE" w14:textId="77777777" w:rsidR="0048090C" w:rsidRDefault="0048090C" w:rsidP="006D04BC">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531"/>
        <w:gridCol w:w="2126"/>
      </w:tblGrid>
      <w:tr w:rsidR="0048090C" w14:paraId="65587386" w14:textId="77777777" w:rsidTr="00EE6ECE">
        <w:trPr>
          <w:trHeight w:val="207"/>
        </w:trPr>
        <w:tc>
          <w:tcPr>
            <w:tcW w:w="7513" w:type="dxa"/>
            <w:gridSpan w:val="2"/>
            <w:tcBorders>
              <w:bottom w:val="single" w:sz="4" w:space="0" w:color="auto"/>
            </w:tcBorders>
            <w:tcMar>
              <w:left w:w="0" w:type="dxa"/>
            </w:tcMar>
          </w:tcPr>
          <w:p w14:paraId="37376CD2" w14:textId="77777777" w:rsidR="0048090C" w:rsidRPr="006C2117" w:rsidRDefault="0037165F" w:rsidP="001F08E6">
            <w:pPr>
              <w:pStyle w:val="Naslov31"/>
              <w:jc w:val="left"/>
            </w:pPr>
            <w:r w:rsidRPr="0037165F">
              <w:rPr>
                <w:lang w:val="en-GB"/>
              </w:rPr>
              <w:t>Turnover based on fiscal verification of invoices, 26 December 2021–8 January 2022</w:t>
            </w:r>
          </w:p>
        </w:tc>
        <w:tc>
          <w:tcPr>
            <w:tcW w:w="2126" w:type="dxa"/>
            <w:tcBorders>
              <w:bottom w:val="single" w:sz="4" w:space="0" w:color="auto"/>
            </w:tcBorders>
          </w:tcPr>
          <w:p w14:paraId="64567F24" w14:textId="77777777" w:rsidR="0048090C" w:rsidRPr="006C2117" w:rsidRDefault="0048090C" w:rsidP="001F08E6">
            <w:pPr>
              <w:pStyle w:val="Naslov31"/>
            </w:pPr>
          </w:p>
        </w:tc>
      </w:tr>
      <w:tr w:rsidR="0048090C" w14:paraId="1D255CD8" w14:textId="77777777" w:rsidTr="001F08E6">
        <w:trPr>
          <w:trHeight w:val="1134"/>
        </w:trPr>
        <w:tc>
          <w:tcPr>
            <w:tcW w:w="4982" w:type="dxa"/>
            <w:tcBorders>
              <w:top w:val="single" w:sz="4" w:space="0" w:color="auto"/>
            </w:tcBorders>
            <w:tcMar>
              <w:left w:w="0" w:type="dxa"/>
            </w:tcMar>
          </w:tcPr>
          <w:p w14:paraId="0D54C7A8" w14:textId="77777777" w:rsidR="0048090C" w:rsidRDefault="0048090C" w:rsidP="001F08E6">
            <w:pPr>
              <w:pStyle w:val="Odstavekseznama"/>
              <w:ind w:left="0"/>
            </w:pPr>
            <w:r>
              <w:rPr>
                <w:noProof/>
              </w:rPr>
              <w:drawing>
                <wp:inline distT="0" distB="0" distL="0" distR="0" wp14:anchorId="5AF1FE77" wp14:editId="10BBFA8B">
                  <wp:extent cx="3090672" cy="245059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0672" cy="2450592"/>
                          </a:xfrm>
                          <a:prstGeom prst="rect">
                            <a:avLst/>
                          </a:prstGeom>
                          <a:noFill/>
                        </pic:spPr>
                      </pic:pic>
                    </a:graphicData>
                  </a:graphic>
                </wp:inline>
              </w:drawing>
            </w:r>
          </w:p>
        </w:tc>
        <w:tc>
          <w:tcPr>
            <w:tcW w:w="4657" w:type="dxa"/>
            <w:gridSpan w:val="2"/>
            <w:tcBorders>
              <w:top w:val="single" w:sz="4" w:space="0" w:color="auto"/>
            </w:tcBorders>
            <w:tcMar>
              <w:left w:w="284" w:type="dxa"/>
            </w:tcMar>
          </w:tcPr>
          <w:p w14:paraId="087C21B2" w14:textId="77777777" w:rsidR="0048090C" w:rsidRPr="00DF4F0B" w:rsidRDefault="0037165F" w:rsidP="001F08E6">
            <w:r w:rsidRPr="0037165F">
              <w:rPr>
                <w:b/>
                <w:lang w:val="en-GB"/>
              </w:rPr>
              <w:t xml:space="preserve">According to data on fiscal verification of invoices, total turnover between 26 December 2021 and 8 January 2022 was 60% higher year-on-year and 8% higher than in the same period before the epidemic. </w:t>
            </w:r>
            <w:r w:rsidRPr="0037165F">
              <w:rPr>
                <w:lang w:val="en-GB"/>
              </w:rPr>
              <w:t>Year-on-year growth doubled compared to the previous two weeks. This is mainly due to a lower base related to the re-closure of non-essential shops and services since the end of 2020 (after a temporary partial relaxation of operating restrictions between 15 and 23 December 2020). This was mainly reflected in higher year-on-year turnover growth in trade and some personal services. Year-on-year growth was still very high in activities that were almost completely shut down in late 2020 and early 2021 – mainly tourism-related services. Total turnover was also higher than turnover at the turn of 2019 to 2020, mainly due to a tenth higher turnover in trade, while in other services it was below pre-crisis levels.</w:t>
            </w:r>
          </w:p>
        </w:tc>
      </w:tr>
    </w:tbl>
    <w:p w14:paraId="3D678045" w14:textId="77777777" w:rsidR="006D04BC" w:rsidRDefault="006D04BC" w:rsidP="006D04BC">
      <w:pPr>
        <w:tabs>
          <w:tab w:val="left" w:pos="580"/>
        </w:tabs>
      </w:pPr>
    </w:p>
    <w:p w14:paraId="46B09A94" w14:textId="77777777" w:rsidR="001A31EE" w:rsidRDefault="001A31EE" w:rsidP="006D04BC">
      <w:pPr>
        <w:tabs>
          <w:tab w:val="left" w:pos="580"/>
        </w:tabs>
      </w:pPr>
    </w:p>
    <w:p w14:paraId="0026EC7F" w14:textId="77777777" w:rsidR="0048090C" w:rsidRDefault="0048090C" w:rsidP="006D04BC">
      <w:pPr>
        <w:tabs>
          <w:tab w:val="left" w:pos="580"/>
        </w:tabs>
      </w:pPr>
    </w:p>
    <w:p w14:paraId="704B779C" w14:textId="77777777" w:rsidR="0048090C" w:rsidRDefault="0048090C" w:rsidP="006D04BC">
      <w:pPr>
        <w:tabs>
          <w:tab w:val="left" w:pos="580"/>
        </w:tabs>
      </w:pPr>
    </w:p>
    <w:p w14:paraId="1A3893B6" w14:textId="77777777" w:rsidR="0037165F" w:rsidRDefault="0037165F" w:rsidP="006D04BC">
      <w:pPr>
        <w:tabs>
          <w:tab w:val="left" w:pos="580"/>
        </w:tabs>
      </w:pPr>
    </w:p>
    <w:p w14:paraId="07876E89" w14:textId="77777777" w:rsidR="0037165F" w:rsidRDefault="0037165F" w:rsidP="006D04BC">
      <w:pPr>
        <w:tabs>
          <w:tab w:val="left" w:pos="580"/>
        </w:tabs>
      </w:pPr>
    </w:p>
    <w:p w14:paraId="71A820D5" w14:textId="77777777" w:rsidR="0037165F" w:rsidRDefault="0037165F" w:rsidP="006D04BC">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688"/>
        <w:gridCol w:w="3969"/>
      </w:tblGrid>
      <w:tr w:rsidR="0048090C" w14:paraId="2D96AD4C" w14:textId="77777777" w:rsidTr="00EE6ECE">
        <w:trPr>
          <w:trHeight w:val="207"/>
        </w:trPr>
        <w:tc>
          <w:tcPr>
            <w:tcW w:w="5670" w:type="dxa"/>
            <w:gridSpan w:val="2"/>
            <w:tcBorders>
              <w:bottom w:val="single" w:sz="4" w:space="0" w:color="auto"/>
            </w:tcBorders>
            <w:tcMar>
              <w:left w:w="0" w:type="dxa"/>
            </w:tcMar>
          </w:tcPr>
          <w:p w14:paraId="70F79D57" w14:textId="77777777" w:rsidR="00EE6ECE" w:rsidRDefault="00EE6ECE" w:rsidP="001F08E6">
            <w:pPr>
              <w:pStyle w:val="Naslov31"/>
              <w:jc w:val="left"/>
              <w:rPr>
                <w:lang w:val="en-GB"/>
              </w:rPr>
            </w:pPr>
          </w:p>
          <w:p w14:paraId="352A4EDF" w14:textId="77777777" w:rsidR="00EE6ECE" w:rsidRDefault="00EE6ECE" w:rsidP="001F08E6">
            <w:pPr>
              <w:pStyle w:val="Naslov31"/>
              <w:jc w:val="left"/>
              <w:rPr>
                <w:lang w:val="en-GB"/>
              </w:rPr>
            </w:pPr>
          </w:p>
          <w:p w14:paraId="5A008BE1" w14:textId="489271F3" w:rsidR="0048090C" w:rsidRPr="006C2117" w:rsidRDefault="0037165F" w:rsidP="001F08E6">
            <w:pPr>
              <w:pStyle w:val="Naslov31"/>
              <w:jc w:val="left"/>
            </w:pPr>
            <w:r w:rsidRPr="0037165F">
              <w:rPr>
                <w:lang w:val="en-GB"/>
              </w:rPr>
              <w:lastRenderedPageBreak/>
              <w:t xml:space="preserve">Electricity consumption by consumption group, December 2021 </w:t>
            </w:r>
            <w:r>
              <w:t xml:space="preserve"> </w:t>
            </w:r>
          </w:p>
        </w:tc>
        <w:tc>
          <w:tcPr>
            <w:tcW w:w="3969" w:type="dxa"/>
            <w:tcBorders>
              <w:bottom w:val="single" w:sz="4" w:space="0" w:color="auto"/>
            </w:tcBorders>
          </w:tcPr>
          <w:p w14:paraId="6203245B" w14:textId="77777777" w:rsidR="0048090C" w:rsidRPr="006C2117" w:rsidRDefault="0048090C" w:rsidP="001F08E6">
            <w:pPr>
              <w:pStyle w:val="Naslov31"/>
            </w:pPr>
          </w:p>
        </w:tc>
      </w:tr>
      <w:tr w:rsidR="0048090C" w14:paraId="5C6BFD52" w14:textId="77777777" w:rsidTr="001F08E6">
        <w:trPr>
          <w:trHeight w:val="1134"/>
        </w:trPr>
        <w:tc>
          <w:tcPr>
            <w:tcW w:w="4982" w:type="dxa"/>
            <w:tcBorders>
              <w:top w:val="single" w:sz="4" w:space="0" w:color="auto"/>
            </w:tcBorders>
            <w:tcMar>
              <w:left w:w="0" w:type="dxa"/>
            </w:tcMar>
          </w:tcPr>
          <w:p w14:paraId="08830837" w14:textId="77777777" w:rsidR="0048090C" w:rsidRDefault="0048090C" w:rsidP="001F08E6">
            <w:pPr>
              <w:pStyle w:val="Odstavekseznama"/>
              <w:ind w:left="0"/>
            </w:pPr>
            <w:r>
              <w:rPr>
                <w:noProof/>
              </w:rPr>
              <w:drawing>
                <wp:inline distT="0" distB="0" distL="0" distR="0" wp14:anchorId="16875BC6" wp14:editId="61D87406">
                  <wp:extent cx="3127248" cy="253288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7248" cy="2532888"/>
                          </a:xfrm>
                          <a:prstGeom prst="rect">
                            <a:avLst/>
                          </a:prstGeom>
                          <a:noFill/>
                        </pic:spPr>
                      </pic:pic>
                    </a:graphicData>
                  </a:graphic>
                </wp:inline>
              </w:drawing>
            </w:r>
          </w:p>
        </w:tc>
        <w:tc>
          <w:tcPr>
            <w:tcW w:w="4657" w:type="dxa"/>
            <w:gridSpan w:val="2"/>
            <w:tcBorders>
              <w:top w:val="single" w:sz="4" w:space="0" w:color="auto"/>
            </w:tcBorders>
            <w:tcMar>
              <w:left w:w="284" w:type="dxa"/>
            </w:tcMar>
          </w:tcPr>
          <w:p w14:paraId="25DEE406" w14:textId="77777777" w:rsidR="0037165F" w:rsidRPr="0037165F" w:rsidRDefault="0037165F" w:rsidP="0037165F">
            <w:pPr>
              <w:rPr>
                <w:lang w:val="en-GB"/>
              </w:rPr>
            </w:pPr>
            <w:r w:rsidRPr="0037165F">
              <w:rPr>
                <w:b/>
                <w:lang w:val="en-GB"/>
              </w:rPr>
              <w:t xml:space="preserve">In December 2021, electricity consumption by all consumption groups was higher than in December 2019 and 2020. </w:t>
            </w:r>
            <w:r w:rsidRPr="0037165F">
              <w:rPr>
                <w:lang w:val="en-GB"/>
              </w:rPr>
              <w:t>Compared to December 2020, industrial consumption increased by 8.8%, partly due to a more favourable timing of holidays from the aspect of the functioning of the industry in December 2021. Significantly higher (by 18.1%) than in December 2020 was small business consumption</w:t>
            </w:r>
            <w:r w:rsidRPr="0037165F">
              <w:rPr>
                <w:vertAlign w:val="superscript"/>
                <w:lang w:val="en-GB"/>
              </w:rPr>
              <w:footnoteReference w:id="2"/>
            </w:r>
            <w:r w:rsidRPr="0037165F">
              <w:rPr>
                <w:lang w:val="en-GB"/>
              </w:rPr>
              <w:t>, which was significantly influenced by the low base in December 2020, when containment measures were in place, restricting trade and services in particular</w:t>
            </w:r>
            <w:r w:rsidRPr="0037165F">
              <w:rPr>
                <w:vertAlign w:val="superscript"/>
                <w:lang w:val="en-GB"/>
              </w:rPr>
              <w:footnoteReference w:id="3"/>
            </w:r>
            <w:r w:rsidRPr="0037165F">
              <w:rPr>
                <w:lang w:val="en-GB"/>
              </w:rPr>
              <w:t>. Household consumption exceeded the December 2020 figure, when the base was already high, by 1.4%. Compared to December 2019, industrial electricity consumption was 5.4% higher and small business electricity consumption was 5.9% higher, mainly due to the more favourable timing of the holidays. Compared to December 2019, household consumption increased by 12.3% due to epidemic-related reasons.</w:t>
            </w:r>
          </w:p>
          <w:p w14:paraId="72DE7CF0" w14:textId="77777777" w:rsidR="0048090C" w:rsidRPr="0037165F" w:rsidRDefault="0048090C" w:rsidP="001F08E6">
            <w:pPr>
              <w:rPr>
                <w:lang w:val="en-GB"/>
              </w:rPr>
            </w:pPr>
          </w:p>
        </w:tc>
      </w:tr>
    </w:tbl>
    <w:p w14:paraId="35E20FA0" w14:textId="77777777" w:rsidR="001A31EE" w:rsidRDefault="001A31EE" w:rsidP="006D04BC">
      <w:pPr>
        <w:sectPr w:rsidR="001A31EE" w:rsidSect="006D04BC">
          <w:footerReference w:type="default" r:id="rId14"/>
          <w:headerReference w:type="first" r:id="rId15"/>
          <w:footerReference w:type="first" r:id="rId16"/>
          <w:type w:val="continuous"/>
          <w:pgSz w:w="11906" w:h="16838"/>
          <w:pgMar w:top="1134" w:right="1134" w:bottom="1021" w:left="1134" w:header="709" w:footer="397" w:gutter="0"/>
          <w:cols w:space="708"/>
          <w:titlePg/>
          <w:docGrid w:linePitch="360"/>
        </w:sectPr>
      </w:pPr>
    </w:p>
    <w:p w14:paraId="3C7E48FD" w14:textId="77777777" w:rsidR="006D04BC" w:rsidRDefault="0041619C" w:rsidP="006D04BC">
      <w:r w:rsidRPr="0041619C">
        <w:rPr>
          <w:noProof/>
        </w:rPr>
        <w:lastRenderedPageBreak/>
        <w:drawing>
          <wp:inline distT="0" distB="0" distL="0" distR="0" wp14:anchorId="47E7F3C1" wp14:editId="287F0A55">
            <wp:extent cx="6120130" cy="83881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388103"/>
                    </a:xfrm>
                    <a:prstGeom prst="rect">
                      <a:avLst/>
                    </a:prstGeom>
                    <a:noFill/>
                    <a:ln>
                      <a:noFill/>
                    </a:ln>
                  </pic:spPr>
                </pic:pic>
              </a:graphicData>
            </a:graphic>
          </wp:inline>
        </w:drawing>
      </w:r>
    </w:p>
    <w:p w14:paraId="53C2DFE9" w14:textId="77777777" w:rsidR="00784980" w:rsidRPr="00887D7E" w:rsidRDefault="00784980" w:rsidP="001F51CD">
      <w:pPr>
        <w:tabs>
          <w:tab w:val="left" w:pos="580"/>
        </w:tabs>
      </w:pPr>
    </w:p>
    <w:sectPr w:rsidR="00784980" w:rsidRPr="00887D7E" w:rsidSect="001A31EE">
      <w:headerReference w:type="default" r:id="rId18"/>
      <w:footerReference w:type="default" r:id="rId19"/>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AFD2C" w14:textId="77777777" w:rsidR="0048090C" w:rsidRDefault="0048090C" w:rsidP="0063497B">
      <w:pPr>
        <w:spacing w:line="240" w:lineRule="auto"/>
      </w:pPr>
      <w:r>
        <w:separator/>
      </w:r>
    </w:p>
  </w:endnote>
  <w:endnote w:type="continuationSeparator" w:id="0">
    <w:p w14:paraId="2C36E51D" w14:textId="77777777" w:rsidR="0048090C" w:rsidRDefault="0048090C"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7932E" w14:textId="77777777" w:rsidR="00763932" w:rsidRPr="006D04BC" w:rsidRDefault="00F6408C" w:rsidP="001A31EE">
    <w:pPr>
      <w:pStyle w:val="Naslov31"/>
      <w:tabs>
        <w:tab w:val="left" w:pos="7980"/>
        <w:tab w:val="right" w:pos="9638"/>
      </w:tabs>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FB79F" w14:textId="77777777" w:rsidR="00763932" w:rsidRPr="006D04BC" w:rsidRDefault="00F6408C" w:rsidP="006D04BC">
    <w:pPr>
      <w:pStyle w:val="Naslov31"/>
      <w:tabs>
        <w:tab w:val="right" w:pos="9638"/>
      </w:tabs>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55B5" w14:textId="77777777" w:rsidR="001327BA" w:rsidRPr="009539F3" w:rsidRDefault="001327BA" w:rsidP="001327BA">
    <w:pPr>
      <w:pStyle w:val="Naslov31"/>
      <w:tabs>
        <w:tab w:val="left" w:pos="7980"/>
        <w:tab w:val="right" w:pos="9638"/>
      </w:tabs>
      <w:spacing w:line="240" w:lineRule="auto"/>
      <w:rPr>
        <w:b w:val="0"/>
        <w:sz w:val="18"/>
        <w:szCs w:val="18"/>
      </w:rPr>
    </w:pPr>
    <w:proofErr w:type="spellStart"/>
    <w:r w:rsidRPr="009539F3">
      <w:rPr>
        <w:b w:val="0"/>
        <w:sz w:val="18"/>
        <w:szCs w:val="18"/>
      </w:rPr>
      <w:t>The</w:t>
    </w:r>
    <w:proofErr w:type="spellEnd"/>
    <w:r w:rsidRPr="009539F3">
      <w:rPr>
        <w:b w:val="0"/>
        <w:sz w:val="18"/>
        <w:szCs w:val="18"/>
      </w:rPr>
      <w:t xml:space="preserve"> table format </w:t>
    </w:r>
    <w:proofErr w:type="spellStart"/>
    <w:r w:rsidRPr="009539F3">
      <w:rPr>
        <w:b w:val="0"/>
        <w:sz w:val="18"/>
        <w:szCs w:val="18"/>
      </w:rPr>
      <w:t>accessible</w:t>
    </w:r>
    <w:proofErr w:type="spellEnd"/>
    <w:r w:rsidRPr="009539F3">
      <w:rPr>
        <w:b w:val="0"/>
        <w:sz w:val="18"/>
        <w:szCs w:val="18"/>
      </w:rPr>
      <w:t xml:space="preserve"> to </w:t>
    </w:r>
    <w:proofErr w:type="spellStart"/>
    <w:r w:rsidRPr="009539F3">
      <w:rPr>
        <w:b w:val="0"/>
        <w:sz w:val="18"/>
        <w:szCs w:val="18"/>
      </w:rPr>
      <w:t>screen</w:t>
    </w:r>
    <w:proofErr w:type="spellEnd"/>
    <w:r w:rsidRPr="009539F3">
      <w:rPr>
        <w:b w:val="0"/>
        <w:sz w:val="18"/>
        <w:szCs w:val="18"/>
      </w:rPr>
      <w:t xml:space="preserve"> </w:t>
    </w:r>
    <w:proofErr w:type="spellStart"/>
    <w:r w:rsidRPr="009539F3">
      <w:rPr>
        <w:b w:val="0"/>
        <w:sz w:val="18"/>
        <w:szCs w:val="18"/>
      </w:rPr>
      <w:t>reader</w:t>
    </w:r>
    <w:proofErr w:type="spellEnd"/>
    <w:r w:rsidRPr="009539F3">
      <w:rPr>
        <w:b w:val="0"/>
        <w:sz w:val="18"/>
        <w:szCs w:val="18"/>
      </w:rPr>
      <w:t xml:space="preserve"> </w:t>
    </w:r>
    <w:proofErr w:type="spellStart"/>
    <w:r w:rsidRPr="009539F3">
      <w:rPr>
        <w:b w:val="0"/>
        <w:sz w:val="18"/>
        <w:szCs w:val="18"/>
      </w:rPr>
      <w:t>users</w:t>
    </w:r>
    <w:proofErr w:type="spellEnd"/>
    <w:r w:rsidRPr="009539F3">
      <w:rPr>
        <w:b w:val="0"/>
        <w:sz w:val="18"/>
        <w:szCs w:val="18"/>
      </w:rPr>
      <w:t xml:space="preserve"> </w:t>
    </w:r>
    <w:proofErr w:type="spellStart"/>
    <w:r w:rsidRPr="009539F3">
      <w:rPr>
        <w:b w:val="0"/>
        <w:sz w:val="18"/>
        <w:szCs w:val="18"/>
      </w:rPr>
      <w:t>can</w:t>
    </w:r>
    <w:proofErr w:type="spellEnd"/>
    <w:r w:rsidRPr="009539F3">
      <w:rPr>
        <w:b w:val="0"/>
        <w:sz w:val="18"/>
        <w:szCs w:val="18"/>
      </w:rPr>
      <w:t xml:space="preserve"> be </w:t>
    </w:r>
    <w:proofErr w:type="spellStart"/>
    <w:r w:rsidRPr="009539F3">
      <w:rPr>
        <w:b w:val="0"/>
        <w:sz w:val="18"/>
        <w:szCs w:val="18"/>
      </w:rPr>
      <w:t>found</w:t>
    </w:r>
    <w:proofErr w:type="spellEnd"/>
    <w:r w:rsidRPr="009539F3">
      <w:rPr>
        <w:b w:val="0"/>
        <w:sz w:val="18"/>
        <w:szCs w:val="18"/>
      </w:rPr>
      <w:t xml:space="preserve"> on </w:t>
    </w:r>
    <w:proofErr w:type="spellStart"/>
    <w:r w:rsidRPr="009539F3">
      <w:rPr>
        <w:b w:val="0"/>
        <w:sz w:val="18"/>
        <w:szCs w:val="18"/>
      </w:rPr>
      <w:t>the</w:t>
    </w:r>
    <w:proofErr w:type="spellEnd"/>
    <w:r w:rsidRPr="009539F3">
      <w:rPr>
        <w:b w:val="0"/>
        <w:sz w:val="18"/>
        <w:szCs w:val="18"/>
      </w:rPr>
      <w:t xml:space="preserve"> IMAD </w:t>
    </w:r>
    <w:proofErr w:type="spellStart"/>
    <w:r w:rsidRPr="009539F3">
      <w:rPr>
        <w:b w:val="0"/>
        <w:sz w:val="18"/>
        <w:szCs w:val="18"/>
      </w:rPr>
      <w:t>website</w:t>
    </w:r>
    <w:proofErr w:type="spellEnd"/>
    <w:r w:rsidRPr="009539F3">
      <w:rPr>
        <w:b w:val="0"/>
        <w:sz w:val="18"/>
        <w:szCs w:val="18"/>
      </w:rPr>
      <w:t xml:space="preserve"> </w:t>
    </w:r>
    <w:proofErr w:type="spellStart"/>
    <w:r w:rsidRPr="009539F3">
      <w:rPr>
        <w:b w:val="0"/>
        <w:sz w:val="18"/>
        <w:szCs w:val="18"/>
      </w:rPr>
      <w:t>among</w:t>
    </w:r>
    <w:proofErr w:type="spellEnd"/>
    <w:r w:rsidRPr="009539F3">
      <w:rPr>
        <w:b w:val="0"/>
        <w:sz w:val="18"/>
        <w:szCs w:val="18"/>
      </w:rPr>
      <w:t xml:space="preserve">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appendices</w:t>
    </w:r>
    <w:proofErr w:type="spellEnd"/>
    <w:r w:rsidRPr="009539F3">
      <w:rPr>
        <w:b w:val="0"/>
        <w:sz w:val="18"/>
        <w:szCs w:val="18"/>
      </w:rPr>
      <w:t xml:space="preserve"> to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current</w:t>
    </w:r>
    <w:proofErr w:type="spellEnd"/>
    <w:r w:rsidRPr="009539F3">
      <w:rPr>
        <w:b w:val="0"/>
        <w:sz w:val="18"/>
        <w:szCs w:val="18"/>
      </w:rPr>
      <w:t xml:space="preserve"> </w:t>
    </w:r>
    <w:proofErr w:type="spellStart"/>
    <w:r w:rsidRPr="009539F3">
      <w:rPr>
        <w:b w:val="0"/>
        <w:sz w:val="18"/>
        <w:szCs w:val="18"/>
      </w:rPr>
      <w:t>graphs</w:t>
    </w:r>
    <w:proofErr w:type="spellEnd"/>
    <w:r w:rsidRPr="009539F3">
      <w:rPr>
        <w:b w:val="0"/>
        <w:sz w:val="18"/>
        <w:szCs w:val="18"/>
      </w:rPr>
      <w:t xml:space="preserve"> </w:t>
    </w:r>
    <w:proofErr w:type="spellStart"/>
    <w:r w:rsidRPr="009539F3">
      <w:rPr>
        <w:b w:val="0"/>
        <w:sz w:val="18"/>
        <w:szCs w:val="18"/>
      </w:rPr>
      <w:t>of</w:t>
    </w:r>
    <w:proofErr w:type="spellEnd"/>
    <w:r w:rsidRPr="009539F3">
      <w:rPr>
        <w:b w:val="0"/>
        <w:sz w:val="18"/>
        <w:szCs w:val="18"/>
      </w:rPr>
      <w:t xml:space="preserve">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week</w:t>
    </w:r>
    <w:proofErr w:type="spellEnd"/>
    <w:r w:rsidRPr="009539F3">
      <w:rPr>
        <w:b w:val="0"/>
        <w:sz w:val="18"/>
        <w:szCs w:val="18"/>
      </w:rPr>
      <w:t xml:space="preserve"> (</w:t>
    </w:r>
    <w:proofErr w:type="spellStart"/>
    <w:r w:rsidRPr="009539F3">
      <w:rPr>
        <w:b w:val="0"/>
        <w:sz w:val="18"/>
        <w:szCs w:val="18"/>
      </w:rPr>
      <w:t>Selected</w:t>
    </w:r>
    <w:proofErr w:type="spellEnd"/>
    <w:r w:rsidRPr="009539F3">
      <w:rPr>
        <w:b w:val="0"/>
        <w:sz w:val="18"/>
        <w:szCs w:val="18"/>
      </w:rPr>
      <w:t xml:space="preserve"> </w:t>
    </w:r>
    <w:proofErr w:type="spellStart"/>
    <w:r w:rsidRPr="009539F3">
      <w:rPr>
        <w:b w:val="0"/>
        <w:sz w:val="18"/>
        <w:szCs w:val="18"/>
      </w:rPr>
      <w:t>macroeconomic</w:t>
    </w:r>
    <w:proofErr w:type="spellEnd"/>
    <w:r w:rsidRPr="009539F3">
      <w:rPr>
        <w:b w:val="0"/>
        <w:sz w:val="18"/>
        <w:szCs w:val="18"/>
      </w:rPr>
      <w:t xml:space="preserve"> </w:t>
    </w:r>
    <w:proofErr w:type="spellStart"/>
    <w:r w:rsidRPr="009539F3">
      <w:rPr>
        <w:b w:val="0"/>
        <w:sz w:val="18"/>
        <w:szCs w:val="18"/>
      </w:rPr>
      <w:t>indicators</w:t>
    </w:r>
    <w:proofErr w:type="spellEnd"/>
    <w:r w:rsidRPr="009539F3">
      <w:rPr>
        <w:b w:val="0"/>
        <w:sz w:val="18"/>
        <w:szCs w:val="18"/>
      </w:rPr>
      <w:t xml:space="preserve"> </w:t>
    </w:r>
    <w:proofErr w:type="spellStart"/>
    <w:r w:rsidRPr="009539F3">
      <w:rPr>
        <w:b w:val="0"/>
        <w:sz w:val="18"/>
        <w:szCs w:val="18"/>
      </w:rPr>
      <w:t>for</w:t>
    </w:r>
    <w:proofErr w:type="spellEnd"/>
    <w:r w:rsidRPr="009539F3">
      <w:rPr>
        <w:b w:val="0"/>
        <w:sz w:val="18"/>
        <w:szCs w:val="18"/>
      </w:rPr>
      <w:t xml:space="preserve"> euro area) </w:t>
    </w:r>
  </w:p>
  <w:p w14:paraId="1BAFBE46" w14:textId="77777777" w:rsidR="001327BA" w:rsidRDefault="001327BA" w:rsidP="001327BA">
    <w:pPr>
      <w:pStyle w:val="Naslov31"/>
      <w:tabs>
        <w:tab w:val="left" w:pos="7980"/>
        <w:tab w:val="right" w:pos="9638"/>
      </w:tabs>
      <w:spacing w:line="240" w:lineRule="auto"/>
      <w:jc w:val="left"/>
      <w:rPr>
        <w:sz w:val="18"/>
        <w:szCs w:val="18"/>
      </w:rPr>
    </w:pPr>
  </w:p>
  <w:p w14:paraId="40233BC7" w14:textId="77777777" w:rsidR="001A31EE" w:rsidRPr="006D04BC" w:rsidRDefault="00F6408C" w:rsidP="001327BA">
    <w:pPr>
      <w:pStyle w:val="Naslov31"/>
      <w:tabs>
        <w:tab w:val="right" w:pos="9638"/>
      </w:tabs>
      <w:spacing w:line="240" w:lineRule="auto"/>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C22D7" w14:textId="77777777" w:rsidR="0048090C" w:rsidRDefault="0048090C" w:rsidP="0063497B">
      <w:pPr>
        <w:spacing w:line="240" w:lineRule="auto"/>
      </w:pPr>
      <w:r>
        <w:separator/>
      </w:r>
    </w:p>
  </w:footnote>
  <w:footnote w:type="continuationSeparator" w:id="0">
    <w:p w14:paraId="0C742546" w14:textId="77777777" w:rsidR="0048090C" w:rsidRDefault="0048090C" w:rsidP="0063497B">
      <w:pPr>
        <w:spacing w:line="240" w:lineRule="auto"/>
      </w:pPr>
      <w:r>
        <w:continuationSeparator/>
      </w:r>
    </w:p>
  </w:footnote>
  <w:footnote w:id="1">
    <w:p w14:paraId="35EF26B5" w14:textId="77777777" w:rsidR="00F0731A" w:rsidRPr="00F0731A" w:rsidRDefault="00F0731A" w:rsidP="00F0731A">
      <w:pPr>
        <w:spacing w:line="240" w:lineRule="auto"/>
        <w:rPr>
          <w:sz w:val="16"/>
          <w:szCs w:val="16"/>
        </w:rPr>
      </w:pPr>
      <w:r w:rsidRPr="00F0731A">
        <w:rPr>
          <w:sz w:val="16"/>
          <w:szCs w:val="16"/>
          <w:vertAlign w:val="superscript"/>
        </w:rPr>
        <w:footnoteRef/>
      </w:r>
      <w:r w:rsidRPr="00F0731A">
        <w:rPr>
          <w:sz w:val="16"/>
          <w:szCs w:val="16"/>
          <w:vertAlign w:val="superscript"/>
        </w:rPr>
        <w:t xml:space="preserve"> </w:t>
      </w:r>
      <w:proofErr w:type="spellStart"/>
      <w:r w:rsidRPr="00F0731A">
        <w:rPr>
          <w:sz w:val="16"/>
          <w:szCs w:val="16"/>
        </w:rPr>
        <w:t>According</w:t>
      </w:r>
      <w:proofErr w:type="spellEnd"/>
      <w:r w:rsidRPr="00F0731A">
        <w:rPr>
          <w:sz w:val="16"/>
          <w:szCs w:val="16"/>
        </w:rPr>
        <w:t xml:space="preserve"> to Standard </w:t>
      </w:r>
      <w:proofErr w:type="spellStart"/>
      <w:r w:rsidRPr="00F0731A">
        <w:rPr>
          <w:sz w:val="16"/>
          <w:szCs w:val="16"/>
        </w:rPr>
        <w:t>Classification</w:t>
      </w:r>
      <w:proofErr w:type="spellEnd"/>
      <w:r w:rsidRPr="00F0731A">
        <w:rPr>
          <w:sz w:val="16"/>
          <w:szCs w:val="16"/>
        </w:rPr>
        <w:t xml:space="preserve"> </w:t>
      </w:r>
      <w:proofErr w:type="spellStart"/>
      <w:r w:rsidRPr="00F0731A">
        <w:rPr>
          <w:sz w:val="16"/>
          <w:szCs w:val="16"/>
        </w:rPr>
        <w:t>of</w:t>
      </w:r>
      <w:proofErr w:type="spellEnd"/>
      <w:r w:rsidRPr="00F0731A">
        <w:rPr>
          <w:sz w:val="16"/>
          <w:szCs w:val="16"/>
        </w:rPr>
        <w:t xml:space="preserve"> </w:t>
      </w:r>
      <w:proofErr w:type="spellStart"/>
      <w:r w:rsidRPr="00F0731A">
        <w:rPr>
          <w:sz w:val="16"/>
          <w:szCs w:val="16"/>
        </w:rPr>
        <w:t>Activities</w:t>
      </w:r>
      <w:proofErr w:type="spellEnd"/>
      <w:r w:rsidRPr="00F0731A">
        <w:rPr>
          <w:sz w:val="16"/>
          <w:szCs w:val="16"/>
        </w:rPr>
        <w:t xml:space="preserve">, </w:t>
      </w:r>
      <w:proofErr w:type="spellStart"/>
      <w:r w:rsidRPr="00F0731A">
        <w:rPr>
          <w:sz w:val="16"/>
          <w:szCs w:val="16"/>
        </w:rPr>
        <w:t>Section</w:t>
      </w:r>
      <w:proofErr w:type="spellEnd"/>
      <w:r w:rsidRPr="00F0731A">
        <w:rPr>
          <w:sz w:val="16"/>
          <w:szCs w:val="16"/>
        </w:rPr>
        <w:t xml:space="preserve"> 32 (</w:t>
      </w:r>
      <w:proofErr w:type="spellStart"/>
      <w:r w:rsidRPr="00F0731A">
        <w:rPr>
          <w:sz w:val="16"/>
          <w:szCs w:val="16"/>
        </w:rPr>
        <w:t>Other</w:t>
      </w:r>
      <w:proofErr w:type="spellEnd"/>
      <w:r w:rsidRPr="00F0731A">
        <w:rPr>
          <w:sz w:val="16"/>
          <w:szCs w:val="16"/>
        </w:rPr>
        <w:t xml:space="preserve"> </w:t>
      </w:r>
      <w:proofErr w:type="spellStart"/>
      <w:r w:rsidRPr="00F0731A">
        <w:rPr>
          <w:sz w:val="16"/>
          <w:szCs w:val="16"/>
        </w:rPr>
        <w:t>manufacturing</w:t>
      </w:r>
      <w:proofErr w:type="spellEnd"/>
      <w:r w:rsidRPr="00F0731A">
        <w:rPr>
          <w:sz w:val="16"/>
          <w:szCs w:val="16"/>
        </w:rPr>
        <w:t xml:space="preserve">) </w:t>
      </w:r>
      <w:proofErr w:type="spellStart"/>
      <w:r w:rsidRPr="00F0731A">
        <w:rPr>
          <w:sz w:val="16"/>
          <w:szCs w:val="16"/>
        </w:rPr>
        <w:t>includes</w:t>
      </w:r>
      <w:proofErr w:type="spellEnd"/>
      <w:r w:rsidRPr="00F0731A">
        <w:rPr>
          <w:sz w:val="16"/>
          <w:szCs w:val="16"/>
        </w:rPr>
        <w:t xml:space="preserve"> </w:t>
      </w:r>
      <w:proofErr w:type="spellStart"/>
      <w:r w:rsidRPr="00F0731A">
        <w:rPr>
          <w:sz w:val="16"/>
          <w:szCs w:val="16"/>
        </w:rPr>
        <w:t>the</w:t>
      </w:r>
      <w:proofErr w:type="spellEnd"/>
      <w:r w:rsidRPr="00F0731A">
        <w:rPr>
          <w:sz w:val="16"/>
          <w:szCs w:val="16"/>
        </w:rPr>
        <w:t xml:space="preserve"> </w:t>
      </w:r>
      <w:proofErr w:type="spellStart"/>
      <w:r w:rsidRPr="00F0731A">
        <w:rPr>
          <w:sz w:val="16"/>
          <w:szCs w:val="16"/>
        </w:rPr>
        <w:t>manufacture</w:t>
      </w:r>
      <w:proofErr w:type="spellEnd"/>
      <w:r w:rsidRPr="00F0731A">
        <w:rPr>
          <w:sz w:val="16"/>
          <w:szCs w:val="16"/>
        </w:rPr>
        <w:t xml:space="preserve"> </w:t>
      </w:r>
      <w:proofErr w:type="spellStart"/>
      <w:r w:rsidRPr="00F0731A">
        <w:rPr>
          <w:sz w:val="16"/>
          <w:szCs w:val="16"/>
        </w:rPr>
        <w:t>of</w:t>
      </w:r>
      <w:proofErr w:type="spellEnd"/>
      <w:r w:rsidRPr="00F0731A">
        <w:rPr>
          <w:sz w:val="16"/>
          <w:szCs w:val="16"/>
        </w:rPr>
        <w:t xml:space="preserve"> </w:t>
      </w:r>
      <w:proofErr w:type="spellStart"/>
      <w:r w:rsidRPr="00F0731A">
        <w:rPr>
          <w:sz w:val="16"/>
          <w:szCs w:val="16"/>
        </w:rPr>
        <w:t>jewellery</w:t>
      </w:r>
      <w:proofErr w:type="spellEnd"/>
      <w:r w:rsidRPr="00F0731A">
        <w:rPr>
          <w:sz w:val="16"/>
          <w:szCs w:val="16"/>
        </w:rPr>
        <w:t xml:space="preserve">, </w:t>
      </w:r>
      <w:proofErr w:type="spellStart"/>
      <w:r w:rsidRPr="00F0731A">
        <w:rPr>
          <w:sz w:val="16"/>
          <w:szCs w:val="16"/>
        </w:rPr>
        <w:t>bijouterie</w:t>
      </w:r>
      <w:proofErr w:type="spellEnd"/>
      <w:r w:rsidRPr="00F0731A">
        <w:rPr>
          <w:sz w:val="16"/>
          <w:szCs w:val="16"/>
        </w:rPr>
        <w:t xml:space="preserve"> </w:t>
      </w:r>
      <w:proofErr w:type="spellStart"/>
      <w:r w:rsidRPr="00F0731A">
        <w:rPr>
          <w:sz w:val="16"/>
          <w:szCs w:val="16"/>
        </w:rPr>
        <w:t>and</w:t>
      </w:r>
      <w:proofErr w:type="spellEnd"/>
      <w:r w:rsidRPr="00F0731A">
        <w:rPr>
          <w:sz w:val="16"/>
          <w:szCs w:val="16"/>
        </w:rPr>
        <w:t xml:space="preserve"> </w:t>
      </w:r>
      <w:proofErr w:type="spellStart"/>
      <w:r w:rsidRPr="00F0731A">
        <w:rPr>
          <w:sz w:val="16"/>
          <w:szCs w:val="16"/>
        </w:rPr>
        <w:t>related</w:t>
      </w:r>
      <w:proofErr w:type="spellEnd"/>
      <w:r w:rsidRPr="00F0731A">
        <w:rPr>
          <w:sz w:val="16"/>
          <w:szCs w:val="16"/>
        </w:rPr>
        <w:t xml:space="preserve"> </w:t>
      </w:r>
      <w:proofErr w:type="spellStart"/>
      <w:r w:rsidRPr="00F0731A">
        <w:rPr>
          <w:sz w:val="16"/>
          <w:szCs w:val="16"/>
        </w:rPr>
        <w:t>articles</w:t>
      </w:r>
      <w:proofErr w:type="spellEnd"/>
      <w:r w:rsidRPr="00F0731A">
        <w:rPr>
          <w:sz w:val="16"/>
          <w:szCs w:val="16"/>
        </w:rPr>
        <w:t xml:space="preserve">, </w:t>
      </w:r>
      <w:proofErr w:type="spellStart"/>
      <w:r w:rsidRPr="00F0731A">
        <w:rPr>
          <w:sz w:val="16"/>
          <w:szCs w:val="16"/>
        </w:rPr>
        <w:t>the</w:t>
      </w:r>
      <w:proofErr w:type="spellEnd"/>
      <w:r w:rsidRPr="00F0731A">
        <w:rPr>
          <w:sz w:val="16"/>
          <w:szCs w:val="16"/>
        </w:rPr>
        <w:t xml:space="preserve"> </w:t>
      </w:r>
      <w:proofErr w:type="spellStart"/>
      <w:r w:rsidRPr="00F0731A">
        <w:rPr>
          <w:sz w:val="16"/>
          <w:szCs w:val="16"/>
        </w:rPr>
        <w:t>manufacture</w:t>
      </w:r>
      <w:proofErr w:type="spellEnd"/>
      <w:r w:rsidRPr="00F0731A">
        <w:rPr>
          <w:sz w:val="16"/>
          <w:szCs w:val="16"/>
        </w:rPr>
        <w:t xml:space="preserve"> </w:t>
      </w:r>
      <w:proofErr w:type="spellStart"/>
      <w:r w:rsidRPr="00F0731A">
        <w:rPr>
          <w:sz w:val="16"/>
          <w:szCs w:val="16"/>
        </w:rPr>
        <w:t>of</w:t>
      </w:r>
      <w:proofErr w:type="spellEnd"/>
      <w:r w:rsidRPr="00F0731A">
        <w:rPr>
          <w:sz w:val="16"/>
          <w:szCs w:val="16"/>
        </w:rPr>
        <w:t xml:space="preserve"> musical </w:t>
      </w:r>
      <w:proofErr w:type="spellStart"/>
      <w:r w:rsidRPr="00F0731A">
        <w:rPr>
          <w:sz w:val="16"/>
          <w:szCs w:val="16"/>
        </w:rPr>
        <w:t>instruments</w:t>
      </w:r>
      <w:proofErr w:type="spellEnd"/>
      <w:r w:rsidRPr="00F0731A">
        <w:rPr>
          <w:sz w:val="16"/>
          <w:szCs w:val="16"/>
        </w:rPr>
        <w:t xml:space="preserve">, </w:t>
      </w:r>
      <w:proofErr w:type="spellStart"/>
      <w:r w:rsidRPr="00F0731A">
        <w:rPr>
          <w:sz w:val="16"/>
          <w:szCs w:val="16"/>
        </w:rPr>
        <w:t>the</w:t>
      </w:r>
      <w:proofErr w:type="spellEnd"/>
      <w:r w:rsidRPr="00F0731A">
        <w:rPr>
          <w:sz w:val="16"/>
          <w:szCs w:val="16"/>
        </w:rPr>
        <w:t xml:space="preserve"> </w:t>
      </w:r>
      <w:proofErr w:type="spellStart"/>
      <w:r w:rsidRPr="00F0731A">
        <w:rPr>
          <w:sz w:val="16"/>
          <w:szCs w:val="16"/>
        </w:rPr>
        <w:t>manufacture</w:t>
      </w:r>
      <w:proofErr w:type="spellEnd"/>
      <w:r w:rsidRPr="00F0731A">
        <w:rPr>
          <w:sz w:val="16"/>
          <w:szCs w:val="16"/>
        </w:rPr>
        <w:t xml:space="preserve"> </w:t>
      </w:r>
      <w:proofErr w:type="spellStart"/>
      <w:r w:rsidRPr="00F0731A">
        <w:rPr>
          <w:sz w:val="16"/>
          <w:szCs w:val="16"/>
        </w:rPr>
        <w:t>of</w:t>
      </w:r>
      <w:proofErr w:type="spellEnd"/>
      <w:r w:rsidRPr="00F0731A">
        <w:rPr>
          <w:sz w:val="16"/>
          <w:szCs w:val="16"/>
        </w:rPr>
        <w:t xml:space="preserve"> </w:t>
      </w:r>
      <w:proofErr w:type="spellStart"/>
      <w:r w:rsidRPr="00F0731A">
        <w:rPr>
          <w:sz w:val="16"/>
          <w:szCs w:val="16"/>
        </w:rPr>
        <w:t>sports</w:t>
      </w:r>
      <w:proofErr w:type="spellEnd"/>
      <w:r w:rsidRPr="00F0731A">
        <w:rPr>
          <w:sz w:val="16"/>
          <w:szCs w:val="16"/>
        </w:rPr>
        <w:t xml:space="preserve"> </w:t>
      </w:r>
      <w:proofErr w:type="spellStart"/>
      <w:r w:rsidRPr="00F0731A">
        <w:rPr>
          <w:sz w:val="16"/>
          <w:szCs w:val="16"/>
        </w:rPr>
        <w:t>goods</w:t>
      </w:r>
      <w:proofErr w:type="spellEnd"/>
      <w:r w:rsidRPr="00F0731A">
        <w:rPr>
          <w:sz w:val="16"/>
          <w:szCs w:val="16"/>
        </w:rPr>
        <w:t xml:space="preserve">, </w:t>
      </w:r>
      <w:proofErr w:type="spellStart"/>
      <w:r w:rsidRPr="00F0731A">
        <w:rPr>
          <w:sz w:val="16"/>
          <w:szCs w:val="16"/>
        </w:rPr>
        <w:t>the</w:t>
      </w:r>
      <w:proofErr w:type="spellEnd"/>
      <w:r w:rsidRPr="00F0731A">
        <w:rPr>
          <w:sz w:val="16"/>
          <w:szCs w:val="16"/>
        </w:rPr>
        <w:t xml:space="preserve"> </w:t>
      </w:r>
      <w:proofErr w:type="spellStart"/>
      <w:r w:rsidRPr="00F0731A">
        <w:rPr>
          <w:sz w:val="16"/>
          <w:szCs w:val="16"/>
        </w:rPr>
        <w:t>manufacture</w:t>
      </w:r>
      <w:proofErr w:type="spellEnd"/>
      <w:r w:rsidRPr="00F0731A">
        <w:rPr>
          <w:sz w:val="16"/>
          <w:szCs w:val="16"/>
        </w:rPr>
        <w:t xml:space="preserve"> </w:t>
      </w:r>
      <w:proofErr w:type="spellStart"/>
      <w:r w:rsidRPr="00F0731A">
        <w:rPr>
          <w:sz w:val="16"/>
          <w:szCs w:val="16"/>
        </w:rPr>
        <w:t>of</w:t>
      </w:r>
      <w:proofErr w:type="spellEnd"/>
      <w:r w:rsidRPr="00F0731A">
        <w:rPr>
          <w:sz w:val="16"/>
          <w:szCs w:val="16"/>
        </w:rPr>
        <w:t xml:space="preserve"> </w:t>
      </w:r>
      <w:proofErr w:type="spellStart"/>
      <w:r w:rsidRPr="00F0731A">
        <w:rPr>
          <w:sz w:val="16"/>
          <w:szCs w:val="16"/>
        </w:rPr>
        <w:t>games</w:t>
      </w:r>
      <w:proofErr w:type="spellEnd"/>
      <w:r w:rsidRPr="00F0731A">
        <w:rPr>
          <w:sz w:val="16"/>
          <w:szCs w:val="16"/>
        </w:rPr>
        <w:t xml:space="preserve"> </w:t>
      </w:r>
      <w:proofErr w:type="spellStart"/>
      <w:r w:rsidRPr="00F0731A">
        <w:rPr>
          <w:sz w:val="16"/>
          <w:szCs w:val="16"/>
        </w:rPr>
        <w:t>and</w:t>
      </w:r>
      <w:proofErr w:type="spellEnd"/>
      <w:r w:rsidRPr="00F0731A">
        <w:rPr>
          <w:sz w:val="16"/>
          <w:szCs w:val="16"/>
        </w:rPr>
        <w:t xml:space="preserve"> </w:t>
      </w:r>
      <w:proofErr w:type="spellStart"/>
      <w:r w:rsidRPr="00F0731A">
        <w:rPr>
          <w:sz w:val="16"/>
          <w:szCs w:val="16"/>
        </w:rPr>
        <w:t>toys</w:t>
      </w:r>
      <w:proofErr w:type="spellEnd"/>
      <w:r w:rsidRPr="00F0731A">
        <w:rPr>
          <w:sz w:val="16"/>
          <w:szCs w:val="16"/>
        </w:rPr>
        <w:t xml:space="preserve">, </w:t>
      </w:r>
      <w:proofErr w:type="spellStart"/>
      <w:r w:rsidRPr="00F0731A">
        <w:rPr>
          <w:sz w:val="16"/>
          <w:szCs w:val="16"/>
        </w:rPr>
        <w:t>the</w:t>
      </w:r>
      <w:proofErr w:type="spellEnd"/>
      <w:r w:rsidRPr="00F0731A">
        <w:rPr>
          <w:sz w:val="16"/>
          <w:szCs w:val="16"/>
        </w:rPr>
        <w:t xml:space="preserve"> </w:t>
      </w:r>
      <w:proofErr w:type="spellStart"/>
      <w:r w:rsidRPr="00F0731A">
        <w:rPr>
          <w:sz w:val="16"/>
          <w:szCs w:val="16"/>
        </w:rPr>
        <w:t>manufacture</w:t>
      </w:r>
      <w:proofErr w:type="spellEnd"/>
      <w:r w:rsidRPr="00F0731A">
        <w:rPr>
          <w:sz w:val="16"/>
          <w:szCs w:val="16"/>
        </w:rPr>
        <w:t xml:space="preserve"> </w:t>
      </w:r>
      <w:proofErr w:type="spellStart"/>
      <w:r w:rsidRPr="00F0731A">
        <w:rPr>
          <w:sz w:val="16"/>
          <w:szCs w:val="16"/>
        </w:rPr>
        <w:t>of</w:t>
      </w:r>
      <w:proofErr w:type="spellEnd"/>
      <w:r w:rsidRPr="00F0731A">
        <w:rPr>
          <w:sz w:val="16"/>
          <w:szCs w:val="16"/>
        </w:rPr>
        <w:t xml:space="preserve"> </w:t>
      </w:r>
      <w:proofErr w:type="spellStart"/>
      <w:r w:rsidRPr="00F0731A">
        <w:rPr>
          <w:sz w:val="16"/>
          <w:szCs w:val="16"/>
        </w:rPr>
        <w:t>medical</w:t>
      </w:r>
      <w:proofErr w:type="spellEnd"/>
      <w:r w:rsidRPr="00F0731A">
        <w:rPr>
          <w:sz w:val="16"/>
          <w:szCs w:val="16"/>
        </w:rPr>
        <w:t xml:space="preserve"> </w:t>
      </w:r>
      <w:proofErr w:type="spellStart"/>
      <w:r w:rsidRPr="00F0731A">
        <w:rPr>
          <w:sz w:val="16"/>
          <w:szCs w:val="16"/>
        </w:rPr>
        <w:t>and</w:t>
      </w:r>
      <w:proofErr w:type="spellEnd"/>
      <w:r w:rsidRPr="00F0731A">
        <w:rPr>
          <w:sz w:val="16"/>
          <w:szCs w:val="16"/>
        </w:rPr>
        <w:t xml:space="preserve"> dental </w:t>
      </w:r>
      <w:proofErr w:type="spellStart"/>
      <w:r w:rsidRPr="00F0731A">
        <w:rPr>
          <w:sz w:val="16"/>
          <w:szCs w:val="16"/>
        </w:rPr>
        <w:t>instruments</w:t>
      </w:r>
      <w:proofErr w:type="spellEnd"/>
      <w:r w:rsidRPr="00F0731A">
        <w:rPr>
          <w:sz w:val="16"/>
          <w:szCs w:val="16"/>
        </w:rPr>
        <w:t xml:space="preserve"> </w:t>
      </w:r>
      <w:proofErr w:type="spellStart"/>
      <w:r w:rsidRPr="00F0731A">
        <w:rPr>
          <w:sz w:val="16"/>
          <w:szCs w:val="16"/>
        </w:rPr>
        <w:t>and</w:t>
      </w:r>
      <w:proofErr w:type="spellEnd"/>
      <w:r w:rsidRPr="00F0731A">
        <w:rPr>
          <w:sz w:val="16"/>
          <w:szCs w:val="16"/>
        </w:rPr>
        <w:t xml:space="preserve"> </w:t>
      </w:r>
      <w:proofErr w:type="spellStart"/>
      <w:r w:rsidRPr="00F0731A">
        <w:rPr>
          <w:sz w:val="16"/>
          <w:szCs w:val="16"/>
        </w:rPr>
        <w:t>supplies</w:t>
      </w:r>
      <w:proofErr w:type="spellEnd"/>
      <w:r w:rsidRPr="00F0731A">
        <w:rPr>
          <w:sz w:val="16"/>
          <w:szCs w:val="16"/>
        </w:rPr>
        <w:t xml:space="preserve"> </w:t>
      </w:r>
      <w:proofErr w:type="spellStart"/>
      <w:r w:rsidRPr="00F0731A">
        <w:rPr>
          <w:sz w:val="16"/>
          <w:szCs w:val="16"/>
        </w:rPr>
        <w:t>and</w:t>
      </w:r>
      <w:proofErr w:type="spellEnd"/>
      <w:r w:rsidRPr="00F0731A">
        <w:rPr>
          <w:sz w:val="16"/>
          <w:szCs w:val="16"/>
        </w:rPr>
        <w:t xml:space="preserve"> </w:t>
      </w:r>
      <w:proofErr w:type="spellStart"/>
      <w:r w:rsidRPr="00F0731A">
        <w:rPr>
          <w:sz w:val="16"/>
          <w:szCs w:val="16"/>
        </w:rPr>
        <w:t>manufacturing</w:t>
      </w:r>
      <w:proofErr w:type="spellEnd"/>
      <w:r w:rsidRPr="00F0731A">
        <w:rPr>
          <w:sz w:val="16"/>
          <w:szCs w:val="16"/>
        </w:rPr>
        <w:t xml:space="preserve"> </w:t>
      </w:r>
      <w:proofErr w:type="spellStart"/>
      <w:r w:rsidRPr="00F0731A">
        <w:rPr>
          <w:sz w:val="16"/>
          <w:szCs w:val="16"/>
        </w:rPr>
        <w:t>n.e.c</w:t>
      </w:r>
      <w:proofErr w:type="spellEnd"/>
      <w:r w:rsidRPr="00F0731A">
        <w:rPr>
          <w:sz w:val="16"/>
          <w:szCs w:val="16"/>
        </w:rPr>
        <w:t>.</w:t>
      </w:r>
    </w:p>
  </w:footnote>
  <w:footnote w:id="2">
    <w:p w14:paraId="32ACAEF1" w14:textId="77777777" w:rsidR="0037165F" w:rsidRDefault="0037165F" w:rsidP="0037165F">
      <w:pPr>
        <w:pStyle w:val="Sprotnaopomba-besedilo"/>
      </w:pPr>
      <w:r>
        <w:rPr>
          <w:rStyle w:val="Sprotnaopomba-sklic"/>
        </w:rPr>
        <w:footnoteRef/>
      </w:r>
      <w:r>
        <w:t xml:space="preserve"> In </w:t>
      </w:r>
      <w:proofErr w:type="spellStart"/>
      <w:r>
        <w:t>this</w:t>
      </w:r>
      <w:proofErr w:type="spellEnd"/>
      <w:r>
        <w:t xml:space="preserve"> </w:t>
      </w:r>
      <w:proofErr w:type="spellStart"/>
      <w:r>
        <w:t>consumption</w:t>
      </w:r>
      <w:proofErr w:type="spellEnd"/>
      <w:r>
        <w:t xml:space="preserve"> </w:t>
      </w:r>
      <w:proofErr w:type="spellStart"/>
      <w:r>
        <w:t>group</w:t>
      </w:r>
      <w:proofErr w:type="spellEnd"/>
      <w:r>
        <w:t xml:space="preserve">, </w:t>
      </w:r>
      <w:proofErr w:type="spellStart"/>
      <w:r>
        <w:t>consumption</w:t>
      </w:r>
      <w:proofErr w:type="spellEnd"/>
      <w:r>
        <w:t xml:space="preserve"> is most </w:t>
      </w:r>
      <w:proofErr w:type="spellStart"/>
      <w:r>
        <w:t>frequently</w:t>
      </w:r>
      <w:proofErr w:type="spellEnd"/>
      <w:r>
        <w:t xml:space="preserve"> </w:t>
      </w:r>
      <w:proofErr w:type="spellStart"/>
      <w:r>
        <w:t>measured</w:t>
      </w:r>
      <w:proofErr w:type="spellEnd"/>
      <w:r>
        <w:t xml:space="preserve"> in </w:t>
      </w:r>
      <w:proofErr w:type="spellStart"/>
      <w:r>
        <w:t>shops</w:t>
      </w:r>
      <w:proofErr w:type="spellEnd"/>
      <w:r>
        <w:t xml:space="preserve"> </w:t>
      </w:r>
      <w:proofErr w:type="spellStart"/>
      <w:r>
        <w:t>and</w:t>
      </w:r>
      <w:proofErr w:type="spellEnd"/>
      <w:r>
        <w:t xml:space="preserve"> </w:t>
      </w:r>
      <w:proofErr w:type="spellStart"/>
      <w:r>
        <w:t>service</w:t>
      </w:r>
      <w:proofErr w:type="spellEnd"/>
      <w:r>
        <w:t xml:space="preserve"> </w:t>
      </w:r>
      <w:proofErr w:type="spellStart"/>
      <w:r>
        <w:t>activities</w:t>
      </w:r>
      <w:proofErr w:type="spellEnd"/>
      <w:r>
        <w:t xml:space="preserve">. </w:t>
      </w:r>
      <w:proofErr w:type="spellStart"/>
      <w:r>
        <w:t>This</w:t>
      </w:r>
      <w:proofErr w:type="spellEnd"/>
      <w:r>
        <w:t xml:space="preserve"> </w:t>
      </w:r>
      <w:proofErr w:type="spellStart"/>
      <w:r>
        <w:t>group</w:t>
      </w:r>
      <w:proofErr w:type="spellEnd"/>
      <w:r>
        <w:t xml:space="preserve"> </w:t>
      </w:r>
      <w:proofErr w:type="spellStart"/>
      <w:r>
        <w:t>also</w:t>
      </w:r>
      <w:proofErr w:type="spellEnd"/>
      <w:r>
        <w:t xml:space="preserve"> </w:t>
      </w:r>
      <w:proofErr w:type="spellStart"/>
      <w:r>
        <w:t>includes</w:t>
      </w:r>
      <w:proofErr w:type="spellEnd"/>
      <w:r>
        <w:t xml:space="preserve"> </w:t>
      </w:r>
      <w:proofErr w:type="spellStart"/>
      <w:r>
        <w:t>warehouses</w:t>
      </w:r>
      <w:proofErr w:type="spellEnd"/>
      <w:r>
        <w:t xml:space="preserve">, </w:t>
      </w:r>
      <w:proofErr w:type="spellStart"/>
      <w:r>
        <w:t>agricultural</w:t>
      </w:r>
      <w:proofErr w:type="spellEnd"/>
      <w:r>
        <w:t xml:space="preserve"> </w:t>
      </w:r>
      <w:proofErr w:type="spellStart"/>
      <w:r>
        <w:t>activity</w:t>
      </w:r>
      <w:proofErr w:type="spellEnd"/>
      <w:r>
        <w:t xml:space="preserve">, </w:t>
      </w:r>
      <w:proofErr w:type="spellStart"/>
      <w:r>
        <w:t>etc</w:t>
      </w:r>
      <w:proofErr w:type="spellEnd"/>
      <w:r>
        <w:t xml:space="preserve">. </w:t>
      </w:r>
      <w:proofErr w:type="spellStart"/>
      <w:r>
        <w:t>and</w:t>
      </w:r>
      <w:proofErr w:type="spellEnd"/>
      <w:r>
        <w:t xml:space="preserve"> large </w:t>
      </w:r>
      <w:proofErr w:type="spellStart"/>
      <w:r>
        <w:t>manufacturing</w:t>
      </w:r>
      <w:proofErr w:type="spellEnd"/>
      <w:r>
        <w:t xml:space="preserve"> </w:t>
      </w:r>
      <w:proofErr w:type="spellStart"/>
      <w:r>
        <w:t>plants</w:t>
      </w:r>
      <w:proofErr w:type="spellEnd"/>
      <w:r>
        <w:t xml:space="preserve"> </w:t>
      </w:r>
      <w:proofErr w:type="spellStart"/>
      <w:r>
        <w:t>that</w:t>
      </w:r>
      <w:proofErr w:type="spellEnd"/>
      <w:r>
        <w:t xml:space="preserve"> do not </w:t>
      </w:r>
      <w:proofErr w:type="spellStart"/>
      <w:r>
        <w:t>consume</w:t>
      </w:r>
      <w:proofErr w:type="spellEnd"/>
      <w:r>
        <w:t xml:space="preserve"> </w:t>
      </w:r>
      <w:proofErr w:type="spellStart"/>
      <w:r>
        <w:t>significant</w:t>
      </w:r>
      <w:proofErr w:type="spellEnd"/>
      <w:r>
        <w:t xml:space="preserve"> </w:t>
      </w:r>
      <w:proofErr w:type="spellStart"/>
      <w:r>
        <w:t>amounts</w:t>
      </w:r>
      <w:proofErr w:type="spellEnd"/>
      <w:r>
        <w:t xml:space="preserve"> </w:t>
      </w:r>
      <w:proofErr w:type="spellStart"/>
      <w:r>
        <w:t>of</w:t>
      </w:r>
      <w:proofErr w:type="spellEnd"/>
      <w:r>
        <w:t xml:space="preserve"> </w:t>
      </w:r>
      <w:proofErr w:type="spellStart"/>
      <w:r>
        <w:t>electricity</w:t>
      </w:r>
      <w:proofErr w:type="spellEnd"/>
      <w:r>
        <w:t xml:space="preserve"> at some </w:t>
      </w:r>
      <w:proofErr w:type="spellStart"/>
      <w:r>
        <w:t>measurement</w:t>
      </w:r>
      <w:proofErr w:type="spellEnd"/>
      <w:r>
        <w:t xml:space="preserve"> </w:t>
      </w:r>
      <w:proofErr w:type="spellStart"/>
      <w:r>
        <w:t>points</w:t>
      </w:r>
      <w:proofErr w:type="spellEnd"/>
      <w:r>
        <w:t>.</w:t>
      </w:r>
    </w:p>
  </w:footnote>
  <w:footnote w:id="3">
    <w:p w14:paraId="25C02E71" w14:textId="77777777" w:rsidR="0037165F" w:rsidRDefault="0037165F" w:rsidP="0037165F">
      <w:pPr>
        <w:pStyle w:val="Sprotnaopomba-besedilo"/>
      </w:pPr>
      <w:r>
        <w:rPr>
          <w:rStyle w:val="Sprotnaopomba-sklic"/>
        </w:rPr>
        <w:footnoteRef/>
      </w:r>
      <w:r>
        <w:t xml:space="preserve"> In </w:t>
      </w:r>
      <w:proofErr w:type="spellStart"/>
      <w:r>
        <w:t>the</w:t>
      </w:r>
      <w:proofErr w:type="spellEnd"/>
      <w:r>
        <w:t xml:space="preserve"> </w:t>
      </w:r>
      <w:proofErr w:type="spellStart"/>
      <w:r>
        <w:t>second</w:t>
      </w:r>
      <w:proofErr w:type="spellEnd"/>
      <w:r>
        <w:t xml:space="preserve"> half </w:t>
      </w:r>
      <w:proofErr w:type="spellStart"/>
      <w:r>
        <w:t>of</w:t>
      </w:r>
      <w:proofErr w:type="spellEnd"/>
      <w:r>
        <w:t xml:space="preserve"> December 2020, </w:t>
      </w:r>
      <w:proofErr w:type="spellStart"/>
      <w:r>
        <w:t>the</w:t>
      </w:r>
      <w:proofErr w:type="spellEnd"/>
      <w:r>
        <w:t xml:space="preserve"> </w:t>
      </w:r>
      <w:proofErr w:type="spellStart"/>
      <w:r>
        <w:t>restrictions</w:t>
      </w:r>
      <w:proofErr w:type="spellEnd"/>
      <w:r>
        <w:t xml:space="preserve"> </w:t>
      </w:r>
      <w:proofErr w:type="spellStart"/>
      <w:r>
        <w:t>for</w:t>
      </w:r>
      <w:proofErr w:type="spellEnd"/>
      <w:r>
        <w:t xml:space="preserve"> some </w:t>
      </w:r>
      <w:proofErr w:type="spellStart"/>
      <w:r>
        <w:t>service</w:t>
      </w:r>
      <w:proofErr w:type="spellEnd"/>
      <w:r>
        <w:t xml:space="preserve"> </w:t>
      </w:r>
      <w:proofErr w:type="spellStart"/>
      <w:r>
        <w:t>activities</w:t>
      </w:r>
      <w:proofErr w:type="spellEnd"/>
      <w:r>
        <w:t xml:space="preserve"> </w:t>
      </w:r>
      <w:proofErr w:type="spellStart"/>
      <w:r>
        <w:t>were</w:t>
      </w:r>
      <w:proofErr w:type="spellEnd"/>
      <w:r>
        <w:t xml:space="preserve"> </w:t>
      </w:r>
      <w:proofErr w:type="spellStart"/>
      <w:r>
        <w:t>temporarily</w:t>
      </w:r>
      <w:proofErr w:type="spellEnd"/>
      <w:r>
        <w:t xml:space="preserve"> </w:t>
      </w:r>
      <w:proofErr w:type="spellStart"/>
      <w:r>
        <w:t>relaxed</w:t>
      </w:r>
      <w:proofErr w:type="spell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BB083" w14:textId="77777777" w:rsidR="005C546C" w:rsidRDefault="005C546C" w:rsidP="005C546C">
    <w:pPr>
      <w:jc w:val="right"/>
    </w:pPr>
    <w:r w:rsidRPr="00763932">
      <w:rPr>
        <w:noProof/>
      </w:rPr>
      <w:drawing>
        <wp:anchor distT="0" distB="0" distL="114300" distR="114300" simplePos="0" relativeHeight="251672576" behindDoc="0" locked="0" layoutInCell="1" allowOverlap="1" wp14:anchorId="115AEB50" wp14:editId="68022916">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Pr="00125926">
      <w:t>1</w:t>
    </w:r>
    <w:r w:rsidR="0048090C">
      <w:t>7</w:t>
    </w:r>
    <w:r>
      <w:t xml:space="preserve"> </w:t>
    </w:r>
    <w:proofErr w:type="spellStart"/>
    <w:r w:rsidR="0048090C">
      <w:t>January</w:t>
    </w:r>
    <w:proofErr w:type="spellEnd"/>
    <w:r>
      <w:t xml:space="preserve"> 20</w:t>
    </w:r>
    <w:r w:rsidR="0048090C">
      <w:t>22</w:t>
    </w:r>
  </w:p>
  <w:p w14:paraId="7E8F6D4C" w14:textId="77777777" w:rsidR="005C546C" w:rsidRDefault="005C546C" w:rsidP="005C546C">
    <w:pPr>
      <w:jc w:val="right"/>
    </w:pPr>
  </w:p>
  <w:p w14:paraId="5F610966" w14:textId="77777777" w:rsidR="001A31EE" w:rsidRDefault="001A31EE" w:rsidP="005C546C">
    <w:pPr>
      <w:jc w:val="right"/>
    </w:pPr>
  </w:p>
  <w:p w14:paraId="28B27396"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B8139" w14:textId="77777777" w:rsidR="001A31EE" w:rsidRPr="007778A3" w:rsidRDefault="007778A3">
    <w:pPr>
      <w:pStyle w:val="Glava"/>
      <w:rPr>
        <w:b/>
        <w:bCs/>
      </w:rPr>
    </w:pPr>
    <w:r w:rsidRPr="00F93880">
      <w:rPr>
        <w:b/>
        <w:bCs/>
      </w:rPr>
      <w:t>Tab</w:t>
    </w:r>
    <w:r>
      <w:rPr>
        <w:b/>
        <w:bCs/>
      </w:rPr>
      <w:t>le</w:t>
    </w:r>
    <w:r w:rsidRPr="00F93880">
      <w:rPr>
        <w:b/>
        <w:bCs/>
      </w:rPr>
      <w:t xml:space="preserve">: </w:t>
    </w:r>
    <w:proofErr w:type="spellStart"/>
    <w:r>
      <w:rPr>
        <w:b/>
        <w:bCs/>
      </w:rPr>
      <w:t>Selected</w:t>
    </w:r>
    <w:proofErr w:type="spellEnd"/>
    <w:r>
      <w:rPr>
        <w:b/>
        <w:bCs/>
      </w:rPr>
      <w:t xml:space="preserve"> </w:t>
    </w:r>
    <w:proofErr w:type="spellStart"/>
    <w:r>
      <w:rPr>
        <w:b/>
        <w:bCs/>
      </w:rPr>
      <w:t>macroeconomic</w:t>
    </w:r>
    <w:proofErr w:type="spellEnd"/>
    <w:r>
      <w:rPr>
        <w:b/>
        <w:bCs/>
      </w:rPr>
      <w:t xml:space="preserve"> </w:t>
    </w:r>
    <w:proofErr w:type="spellStart"/>
    <w:r>
      <w:rPr>
        <w:b/>
        <w:bCs/>
      </w:rPr>
      <w:t>indicators</w:t>
    </w:r>
    <w:proofErr w:type="spellEnd"/>
    <w:r>
      <w:rPr>
        <w:b/>
        <w:bCs/>
      </w:rPr>
      <w:t xml:space="preserve"> </w:t>
    </w:r>
    <w:proofErr w:type="spellStart"/>
    <w:r>
      <w:rPr>
        <w:b/>
        <w:bCs/>
      </w:rPr>
      <w:t>for</w:t>
    </w:r>
    <w:proofErr w:type="spellEnd"/>
    <w:r w:rsidRPr="00F93880">
      <w:rPr>
        <w:b/>
        <w:bCs/>
      </w:rPr>
      <w:t xml:space="preserve"> </w:t>
    </w:r>
    <w:proofErr w:type="spellStart"/>
    <w:r>
      <w:rPr>
        <w:b/>
        <w:bCs/>
      </w:rPr>
      <w:t>S</w:t>
    </w:r>
    <w:r w:rsidRPr="00F93880">
      <w:rPr>
        <w:b/>
        <w:bCs/>
      </w:rPr>
      <w:t>loveni</w:t>
    </w:r>
    <w:r>
      <w:rPr>
        <w:b/>
        <w:bCs/>
      </w:rPr>
      <w:t>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5pt;height:18.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0C"/>
    <w:rsid w:val="00001002"/>
    <w:rsid w:val="00047D38"/>
    <w:rsid w:val="000511FE"/>
    <w:rsid w:val="00070B6E"/>
    <w:rsid w:val="0007153E"/>
    <w:rsid w:val="00077F13"/>
    <w:rsid w:val="000A5A42"/>
    <w:rsid w:val="000A7BDC"/>
    <w:rsid w:val="000E172B"/>
    <w:rsid w:val="000F15D3"/>
    <w:rsid w:val="00115E8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6793"/>
    <w:rsid w:val="001F43F0"/>
    <w:rsid w:val="001F51CD"/>
    <w:rsid w:val="00216373"/>
    <w:rsid w:val="00237023"/>
    <w:rsid w:val="00243593"/>
    <w:rsid w:val="0026509A"/>
    <w:rsid w:val="0026694E"/>
    <w:rsid w:val="00284A69"/>
    <w:rsid w:val="002B376F"/>
    <w:rsid w:val="002B4319"/>
    <w:rsid w:val="002B4C3A"/>
    <w:rsid w:val="002B5361"/>
    <w:rsid w:val="002D46EF"/>
    <w:rsid w:val="002E69B6"/>
    <w:rsid w:val="00306767"/>
    <w:rsid w:val="00312702"/>
    <w:rsid w:val="00312D09"/>
    <w:rsid w:val="0037165F"/>
    <w:rsid w:val="00373826"/>
    <w:rsid w:val="00384AB6"/>
    <w:rsid w:val="003C614E"/>
    <w:rsid w:val="0041619C"/>
    <w:rsid w:val="00431EDD"/>
    <w:rsid w:val="004361A1"/>
    <w:rsid w:val="004368FB"/>
    <w:rsid w:val="00452589"/>
    <w:rsid w:val="00452804"/>
    <w:rsid w:val="00464D01"/>
    <w:rsid w:val="00477274"/>
    <w:rsid w:val="0048090C"/>
    <w:rsid w:val="00481FA7"/>
    <w:rsid w:val="004874AC"/>
    <w:rsid w:val="004970E5"/>
    <w:rsid w:val="00534457"/>
    <w:rsid w:val="00546DBF"/>
    <w:rsid w:val="005964A5"/>
    <w:rsid w:val="005C546C"/>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3932"/>
    <w:rsid w:val="00772003"/>
    <w:rsid w:val="007778A3"/>
    <w:rsid w:val="00784980"/>
    <w:rsid w:val="0079410F"/>
    <w:rsid w:val="007A0B59"/>
    <w:rsid w:val="007A1ADF"/>
    <w:rsid w:val="007A6084"/>
    <w:rsid w:val="007B7110"/>
    <w:rsid w:val="007F1307"/>
    <w:rsid w:val="00812D81"/>
    <w:rsid w:val="00813913"/>
    <w:rsid w:val="00860582"/>
    <w:rsid w:val="00887D7E"/>
    <w:rsid w:val="009023FF"/>
    <w:rsid w:val="00910265"/>
    <w:rsid w:val="0093604B"/>
    <w:rsid w:val="00940DB2"/>
    <w:rsid w:val="00946C4C"/>
    <w:rsid w:val="009539F3"/>
    <w:rsid w:val="009918B9"/>
    <w:rsid w:val="009A1E12"/>
    <w:rsid w:val="009D311B"/>
    <w:rsid w:val="009E0EA3"/>
    <w:rsid w:val="00A072AA"/>
    <w:rsid w:val="00A107AD"/>
    <w:rsid w:val="00A25EF3"/>
    <w:rsid w:val="00A35FCE"/>
    <w:rsid w:val="00A42839"/>
    <w:rsid w:val="00A5647C"/>
    <w:rsid w:val="00A7050D"/>
    <w:rsid w:val="00A8329F"/>
    <w:rsid w:val="00A9607E"/>
    <w:rsid w:val="00AA1F25"/>
    <w:rsid w:val="00AB0C65"/>
    <w:rsid w:val="00AC328B"/>
    <w:rsid w:val="00AC5D63"/>
    <w:rsid w:val="00AF3058"/>
    <w:rsid w:val="00B00E5E"/>
    <w:rsid w:val="00B220A3"/>
    <w:rsid w:val="00B37AC5"/>
    <w:rsid w:val="00B451B6"/>
    <w:rsid w:val="00B52F7E"/>
    <w:rsid w:val="00B738F6"/>
    <w:rsid w:val="00B77238"/>
    <w:rsid w:val="00B8300F"/>
    <w:rsid w:val="00B913B5"/>
    <w:rsid w:val="00BA64DB"/>
    <w:rsid w:val="00BD4DF4"/>
    <w:rsid w:val="00BF2574"/>
    <w:rsid w:val="00C14A86"/>
    <w:rsid w:val="00C7347F"/>
    <w:rsid w:val="00C741AA"/>
    <w:rsid w:val="00CA3CFE"/>
    <w:rsid w:val="00CD10D3"/>
    <w:rsid w:val="00CD2B30"/>
    <w:rsid w:val="00CE13FA"/>
    <w:rsid w:val="00CF6407"/>
    <w:rsid w:val="00D10D15"/>
    <w:rsid w:val="00D312B6"/>
    <w:rsid w:val="00D336BB"/>
    <w:rsid w:val="00D53A43"/>
    <w:rsid w:val="00D55827"/>
    <w:rsid w:val="00DB1C32"/>
    <w:rsid w:val="00DD7D7B"/>
    <w:rsid w:val="00DE2EA9"/>
    <w:rsid w:val="00DE4ACB"/>
    <w:rsid w:val="00DE4DCF"/>
    <w:rsid w:val="00DE72F6"/>
    <w:rsid w:val="00DF3E04"/>
    <w:rsid w:val="00DF4F0B"/>
    <w:rsid w:val="00E02749"/>
    <w:rsid w:val="00E501A0"/>
    <w:rsid w:val="00E5484D"/>
    <w:rsid w:val="00E7791D"/>
    <w:rsid w:val="00ED6836"/>
    <w:rsid w:val="00EE6ECE"/>
    <w:rsid w:val="00EE7E6E"/>
    <w:rsid w:val="00F0731A"/>
    <w:rsid w:val="00F221C4"/>
    <w:rsid w:val="00F409C1"/>
    <w:rsid w:val="00F41E1A"/>
    <w:rsid w:val="00F43F6C"/>
    <w:rsid w:val="00F47B15"/>
    <w:rsid w:val="00F505FF"/>
    <w:rsid w:val="00F545EF"/>
    <w:rsid w:val="00F6408C"/>
    <w:rsid w:val="00F65156"/>
    <w:rsid w:val="00F66E1B"/>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CA1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06767"/>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Char Ch,o"/>
    <w:basedOn w:val="Navaden"/>
    <w:link w:val="Sprotnaopomba-besediloZnak"/>
    <w:uiPriority w:val="99"/>
    <w:unhideWhenUsed/>
    <w:qFormat/>
    <w:rsid w:val="006D04BC"/>
    <w:pPr>
      <w:spacing w:line="240" w:lineRule="auto"/>
    </w:pPr>
    <w:rPr>
      <w:sz w:val="16"/>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Char Ch Znak"/>
    <w:basedOn w:val="Privzetapisavaodstavka"/>
    <w:link w:val="Sprotnaopomba-besedilo"/>
    <w:uiPriority w:val="99"/>
    <w:rsid w:val="006D04BC"/>
    <w:rPr>
      <w:rFonts w:ascii="Myriad Pro" w:hAnsi="Myriad Pro"/>
      <w:sz w:val="16"/>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unhideWhenUsed/>
    <w:qFormat/>
    <w:rsid w:val="00C741AA"/>
    <w:rPr>
      <w:vertAlign w:val="superscript"/>
    </w:rPr>
  </w:style>
  <w:style w:type="character" w:styleId="Pripombasklic">
    <w:name w:val="annotation reference"/>
    <w:basedOn w:val="Privzetapisavaodstavka"/>
    <w:uiPriority w:val="99"/>
    <w:semiHidden/>
    <w:unhideWhenUsed/>
    <w:rsid w:val="006D0300"/>
    <w:rPr>
      <w:sz w:val="16"/>
      <w:szCs w:val="16"/>
    </w:rPr>
  </w:style>
  <w:style w:type="paragraph" w:styleId="Pripombabesedilo">
    <w:name w:val="annotation text"/>
    <w:basedOn w:val="Navaden"/>
    <w:link w:val="PripombabesediloZnak"/>
    <w:uiPriority w:val="99"/>
    <w:semiHidden/>
    <w:unhideWhenUsed/>
    <w:rsid w:val="006D0300"/>
    <w:pPr>
      <w:spacing w:line="240" w:lineRule="auto"/>
    </w:pPr>
    <w:rPr>
      <w:szCs w:val="20"/>
    </w:rPr>
  </w:style>
  <w:style w:type="character" w:customStyle="1" w:styleId="PripombabesediloZnak">
    <w:name w:val="Pripomba – besedilo Znak"/>
    <w:basedOn w:val="Privzetapisavaodstavka"/>
    <w:link w:val="Pripombabesedilo"/>
    <w:uiPriority w:val="99"/>
    <w:semiHidden/>
    <w:rsid w:val="006D0300"/>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6D0300"/>
    <w:rPr>
      <w:b/>
      <w:bCs/>
    </w:rPr>
  </w:style>
  <w:style w:type="character" w:customStyle="1" w:styleId="ZadevapripombeZnak">
    <w:name w:val="Zadeva pripombe Znak"/>
    <w:basedOn w:val="PripombabesediloZnak"/>
    <w:link w:val="Zadevapripombe"/>
    <w:uiPriority w:val="99"/>
    <w:semiHidden/>
    <w:rsid w:val="006D0300"/>
    <w:rPr>
      <w:rFonts w:ascii="Myriad Pro" w:hAnsi="Myriad Pro"/>
      <w:b/>
      <w:bCs/>
      <w:sz w:val="20"/>
      <w:szCs w:val="20"/>
    </w:rPr>
  </w:style>
  <w:style w:type="character" w:styleId="Hiperpovezava">
    <w:name w:val="Hyperlink"/>
    <w:basedOn w:val="Privzetapisavaodstavka"/>
    <w:uiPriority w:val="99"/>
    <w:unhideWhenUsed/>
    <w:rsid w:val="006D04BC"/>
    <w:rPr>
      <w:color w:val="0563C1" w:themeColor="hyperlink"/>
      <w:u w:val="single"/>
    </w:rPr>
  </w:style>
  <w:style w:type="character" w:styleId="Nerazreenaomemba">
    <w:name w:val="Unresolved Mention"/>
    <w:basedOn w:val="Privzetapisavaodstavka"/>
    <w:uiPriority w:val="99"/>
    <w:semiHidden/>
    <w:unhideWhenUsed/>
    <w:rsid w:val="006D04BC"/>
    <w:rPr>
      <w:color w:val="605E5C"/>
      <w:shd w:val="clear" w:color="auto" w:fill="E1DFDD"/>
    </w:rPr>
  </w:style>
  <w:style w:type="paragraph" w:customStyle="1" w:styleId="Naslov310">
    <w:name w:val="Naslov 31"/>
    <w:basedOn w:val="Navaden"/>
    <w:qFormat/>
    <w:rsid w:val="00D5582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8153E-F3EF-4A63-B54B-072B31036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1007</Words>
  <Characters>5746</Characters>
  <Application>Microsoft Office Word</Application>
  <DocSecurity>0</DocSecurity>
  <Lines>47</Lines>
  <Paragraphs>13</Paragraphs>
  <ScaleCrop>false</ScaleCrop>
  <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2022-01-18T05:23:00Z</dcterms:created>
  <dcterms:modified xsi:type="dcterms:W3CDTF">2022-01-18T05:24:00Z</dcterms:modified>
</cp:coreProperties>
</file>