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1A5A4" w14:textId="77777777" w:rsidR="001D6793" w:rsidRPr="00DE72F6" w:rsidRDefault="001D6793" w:rsidP="001D6793">
      <w:pPr>
        <w:pStyle w:val="Naslov11"/>
      </w:pPr>
      <w:r w:rsidRPr="00DE72F6">
        <w:t>TEKOČA GOSPODARSKA GIBANJA</w:t>
      </w:r>
    </w:p>
    <w:p w14:paraId="74FC5E1D" w14:textId="77777777" w:rsidR="001D6793" w:rsidRDefault="00FA45E3" w:rsidP="001D6793">
      <w:pPr>
        <w:pStyle w:val="Naslov21"/>
      </w:pPr>
      <w:r>
        <w:t>od 1</w:t>
      </w:r>
      <w:r w:rsidR="00951C61">
        <w:t>7</w:t>
      </w:r>
      <w:r w:rsidR="001D6793">
        <w:t xml:space="preserve">. do </w:t>
      </w:r>
      <w:r w:rsidR="00FE12B1">
        <w:t>2</w:t>
      </w:r>
      <w:r w:rsidR="00951C61">
        <w:t>1</w:t>
      </w:r>
      <w:r w:rsidR="001D6793">
        <w:t xml:space="preserve">. </w:t>
      </w:r>
      <w:r w:rsidR="00951C61">
        <w:t>januarja</w:t>
      </w:r>
      <w:r w:rsidR="001D6793">
        <w:t xml:space="preserve"> 20</w:t>
      </w:r>
      <w:r w:rsidR="00951C61">
        <w:t>22</w:t>
      </w:r>
    </w:p>
    <w:p w14:paraId="10B38110" w14:textId="77777777" w:rsidR="00DF4F0B" w:rsidRDefault="00DF4F0B"/>
    <w:p w14:paraId="7E102FA7" w14:textId="0CD9AECD" w:rsidR="00B440ED" w:rsidRPr="00B440ED" w:rsidRDefault="00B440ED" w:rsidP="00B440ED">
      <w:pPr>
        <w:tabs>
          <w:tab w:val="left" w:pos="580"/>
        </w:tabs>
      </w:pPr>
      <w:bookmarkStart w:id="0" w:name="_Hlk54096721"/>
      <w:r>
        <w:t>Razmere na trgu dela so bile novembra lani še naprej ugodne, zaposlenost se je še zvišala. Število delovno aktivnih je bilo v prvih enajstih mesecih lanskega leta za 1,2 % višje kot v enakem obdobju 2020 in za 0,5 % višje kot v 2019. Medletna rast zaposlenosti je bila najvišja v gostinstvu in gradbeništvu, slednj</w:t>
      </w:r>
      <w:r w:rsidR="00142185">
        <w:t>e</w:t>
      </w:r>
      <w:r>
        <w:t xml:space="preserve"> je v prvih enajstih mesecih zabeležil</w:t>
      </w:r>
      <w:r w:rsidR="00142185">
        <w:t>o</w:t>
      </w:r>
      <w:r>
        <w:t xml:space="preserve"> tudi najvišji delež delovno aktivnih tujcev. Ob pomanjkanju domače delovne sile je bil prispevek tuje delovne sile k skupni rasti zaposlenosti novembra lani skoraj 50</w:t>
      </w:r>
      <w:r w:rsidR="53785053">
        <w:t>-odstoten</w:t>
      </w:r>
      <w:r>
        <w:t>. Cene industrijskih proizvodov slovenskih proizvajalcev se še naprej krepijo, k medletni rasti so v največji meri prispevale cene v skupini surovin (16 %). Nekoliko hitreje se krepijo tudi cen</w:t>
      </w:r>
      <w:r w:rsidR="00F11C3D">
        <w:t>e</w:t>
      </w:r>
      <w:r>
        <w:t xml:space="preserve"> energentov</w:t>
      </w:r>
      <w:r w:rsidR="009577CC">
        <w:t xml:space="preserve"> ter </w:t>
      </w:r>
      <w:r>
        <w:t>blaga za široko porabo.</w:t>
      </w:r>
    </w:p>
    <w:bookmarkEnd w:id="0"/>
    <w:p w14:paraId="3D0F86D8" w14:textId="77777777" w:rsidR="00020907" w:rsidRDefault="00020907" w:rsidP="001F51CD">
      <w:pPr>
        <w:tabs>
          <w:tab w:val="left" w:pos="580"/>
        </w:tabs>
      </w:pPr>
    </w:p>
    <w:tbl>
      <w:tblPr>
        <w:tblStyle w:val="Tabelamrea"/>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789"/>
      </w:tblGrid>
      <w:tr w:rsidR="00363E63" w14:paraId="4D5556D6" w14:textId="77777777" w:rsidTr="6A62DEBF">
        <w:trPr>
          <w:trHeight w:val="207"/>
        </w:trPr>
        <w:tc>
          <w:tcPr>
            <w:tcW w:w="4819" w:type="dxa"/>
            <w:tcBorders>
              <w:bottom w:val="single" w:sz="4" w:space="0" w:color="auto"/>
            </w:tcBorders>
            <w:tcMar>
              <w:left w:w="0" w:type="dxa"/>
            </w:tcMar>
          </w:tcPr>
          <w:p w14:paraId="17B4DED1" w14:textId="77777777" w:rsidR="00363E63" w:rsidRPr="007A0B59" w:rsidRDefault="00951C61" w:rsidP="00731B6F">
            <w:pPr>
              <w:pStyle w:val="Naslov31"/>
              <w:jc w:val="left"/>
            </w:pPr>
            <w:r>
              <w:t>Trg dela</w:t>
            </w:r>
            <w:r w:rsidR="00020907">
              <w:t>, november 2021</w:t>
            </w:r>
          </w:p>
        </w:tc>
        <w:tc>
          <w:tcPr>
            <w:tcW w:w="4952" w:type="dxa"/>
            <w:gridSpan w:val="2"/>
            <w:tcBorders>
              <w:bottom w:val="single" w:sz="4" w:space="0" w:color="auto"/>
            </w:tcBorders>
          </w:tcPr>
          <w:p w14:paraId="10D4C34F" w14:textId="77777777" w:rsidR="00363E63" w:rsidRPr="007A0B59" w:rsidRDefault="00363E63" w:rsidP="006C2117">
            <w:pPr>
              <w:pStyle w:val="Naslov31"/>
            </w:pPr>
          </w:p>
        </w:tc>
      </w:tr>
      <w:tr w:rsidR="00FA45E3" w14:paraId="79B70D7E" w14:textId="77777777" w:rsidTr="6A62DEBF">
        <w:trPr>
          <w:trHeight w:val="1134"/>
        </w:trPr>
        <w:tc>
          <w:tcPr>
            <w:tcW w:w="4982" w:type="dxa"/>
            <w:gridSpan w:val="2"/>
            <w:tcBorders>
              <w:top w:val="single" w:sz="4" w:space="0" w:color="auto"/>
            </w:tcBorders>
            <w:tcMar>
              <w:left w:w="0" w:type="dxa"/>
            </w:tcMar>
          </w:tcPr>
          <w:p w14:paraId="5DF11EDD" w14:textId="5DB3FF4E" w:rsidR="00FA45E3" w:rsidRDefault="008D6725" w:rsidP="00F35405">
            <w:pPr>
              <w:pStyle w:val="Odstavekseznama"/>
              <w:ind w:left="0"/>
            </w:pPr>
            <w:r>
              <w:rPr>
                <w:noProof/>
              </w:rPr>
              <w:drawing>
                <wp:inline distT="0" distB="0" distL="0" distR="0" wp14:anchorId="33F0C064" wp14:editId="4A4B3041">
                  <wp:extent cx="3121200" cy="2440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200" cy="2440800"/>
                          </a:xfrm>
                          <a:prstGeom prst="rect">
                            <a:avLst/>
                          </a:prstGeom>
                          <a:noFill/>
                        </pic:spPr>
                      </pic:pic>
                    </a:graphicData>
                  </a:graphic>
                </wp:inline>
              </w:drawing>
            </w:r>
          </w:p>
        </w:tc>
        <w:tc>
          <w:tcPr>
            <w:tcW w:w="4789" w:type="dxa"/>
            <w:tcBorders>
              <w:top w:val="single" w:sz="4" w:space="0" w:color="auto"/>
            </w:tcBorders>
            <w:tcMar>
              <w:left w:w="284" w:type="dxa"/>
            </w:tcMar>
          </w:tcPr>
          <w:p w14:paraId="0639FD4C" w14:textId="2B808B29" w:rsidR="00FA45E3" w:rsidRPr="00DF4F0B" w:rsidRDefault="0058ED17" w:rsidP="00946C4C">
            <w:r w:rsidRPr="00522635">
              <w:rPr>
                <w:b/>
                <w:bCs/>
              </w:rPr>
              <w:t xml:space="preserve">Zaposlenost se je novembra še zvišala in dosegla </w:t>
            </w:r>
            <w:r w:rsidR="0CB674B8">
              <w:rPr>
                <w:b/>
                <w:bCs/>
              </w:rPr>
              <w:t xml:space="preserve">nove </w:t>
            </w:r>
            <w:r w:rsidRPr="00522635">
              <w:rPr>
                <w:b/>
                <w:bCs/>
              </w:rPr>
              <w:t xml:space="preserve">najvišje ravni do sedaj. </w:t>
            </w:r>
            <w:r w:rsidRPr="32D2BE40">
              <w:t>Najvišja medletna rast je bila zabeležena v gostinstvu in gradbeništvu, v slednjem je bilo število zaposlenih tudi občutno višje kot novembra 2019, v gostinstvu pa je zaposlenost ostala pod ravnjo izpred dveh let. Zajezitveni ukrepi so močno prizadeli tudi kulturne, razvedrilne in rekreacijske dejavnosti, kjer je število zaposlenih novembra prav tako ostalo nižje kot v enakem obdobju leta 2019. V prvih enajstih mesecih lanskega leta je bilo število delovno aktivnih za 1,2</w:t>
            </w:r>
            <w:r w:rsidR="00E51A67">
              <w:t> </w:t>
            </w:r>
            <w:r w:rsidRPr="32D2BE40">
              <w:t xml:space="preserve">% višje kot v enakem obdobju 2020 in za 0,5 % višje kot v 2019. Rast zaposlenosti v razmerah hitrega gospodarskega okrevanja, tako kot pred razmahom epidemije covida-19, </w:t>
            </w:r>
            <w:r w:rsidR="00E51A67">
              <w:t xml:space="preserve">je </w:t>
            </w:r>
            <w:r w:rsidRPr="32D2BE40">
              <w:t xml:space="preserve">ponovno v veliki meri </w:t>
            </w:r>
            <w:r w:rsidR="00E51A67">
              <w:t xml:space="preserve">povezana z </w:t>
            </w:r>
            <w:r w:rsidRPr="32D2BE40">
              <w:t xml:space="preserve"> zaposlovanje</w:t>
            </w:r>
            <w:r w:rsidR="00E51A67">
              <w:t>m</w:t>
            </w:r>
            <w:r w:rsidRPr="32D2BE40">
              <w:t xml:space="preserve"> tujcev (prispevek k skupni rasti zaposlenosti je novembra znašal skoraj 50</w:t>
            </w:r>
            <w:r w:rsidR="00E51A67">
              <w:t> </w:t>
            </w:r>
            <w:r w:rsidRPr="32D2BE40">
              <w:t>%), kar je posledica demografskih sprememb in s tem povezanega pomanjkanja domače delovne sile</w:t>
            </w:r>
            <w:r w:rsidR="7DDE520C" w:rsidRPr="32D2BE40">
              <w:t xml:space="preserve">, </w:t>
            </w:r>
            <w:r w:rsidR="47C4DD0D" w:rsidRPr="32D2BE40">
              <w:t xml:space="preserve"> ki je največje v gostinstvu in gradbeništvu (visoke stopnje prostih delovnih mest</w:t>
            </w:r>
            <w:r w:rsidR="4307551D" w:rsidRPr="32D2BE40">
              <w:t>).</w:t>
            </w:r>
            <w:r w:rsidRPr="32D2BE40">
              <w:t xml:space="preserve"> Dejavnosti, ki so imele v prvih enajstih mesecih lanskega leta najvišji delež delovno aktivnih tujcev, so gradbeništvo (43</w:t>
            </w:r>
            <w:r w:rsidR="00746F7B">
              <w:t> </w:t>
            </w:r>
            <w:r w:rsidRPr="32D2BE40">
              <w:t>%), promet in skladiščenje (31</w:t>
            </w:r>
            <w:r w:rsidR="00E51A67">
              <w:t> </w:t>
            </w:r>
            <w:r w:rsidRPr="32D2BE40">
              <w:t>%) ter druge raznovrstne poslovne dejavnosti (24</w:t>
            </w:r>
            <w:r w:rsidR="00E51A67">
              <w:t> </w:t>
            </w:r>
            <w:r w:rsidRPr="32D2BE40">
              <w:t>%).</w:t>
            </w:r>
            <w:r w:rsidR="00522635" w:rsidRPr="32D2BE40">
              <w:rPr>
                <w:vertAlign w:val="superscript"/>
              </w:rPr>
              <w:footnoteReference w:id="1"/>
            </w:r>
          </w:p>
        </w:tc>
      </w:tr>
    </w:tbl>
    <w:p w14:paraId="7E8DA683" w14:textId="77777777" w:rsidR="00EE7E6E" w:rsidRDefault="00EE7E6E" w:rsidP="001F51CD">
      <w:pPr>
        <w:tabs>
          <w:tab w:val="left" w:pos="580"/>
        </w:tabs>
      </w:pPr>
    </w:p>
    <w:p w14:paraId="1B39E6A7" w14:textId="77777777" w:rsidR="00020907" w:rsidRDefault="00020907" w:rsidP="001F51CD">
      <w:pPr>
        <w:tabs>
          <w:tab w:val="left" w:pos="580"/>
        </w:tabs>
      </w:pPr>
    </w:p>
    <w:p w14:paraId="17526046" w14:textId="77777777" w:rsidR="00020907" w:rsidRDefault="00020907" w:rsidP="001F51CD">
      <w:pPr>
        <w:tabs>
          <w:tab w:val="left" w:pos="580"/>
        </w:tabs>
      </w:pPr>
    </w:p>
    <w:p w14:paraId="4E441B78" w14:textId="77777777" w:rsidR="00020907" w:rsidRDefault="00020907" w:rsidP="001F51CD">
      <w:pPr>
        <w:tabs>
          <w:tab w:val="left" w:pos="580"/>
        </w:tabs>
      </w:pPr>
    </w:p>
    <w:p w14:paraId="25DEB3B8" w14:textId="77777777" w:rsidR="00020907" w:rsidRDefault="00020907" w:rsidP="001F51CD">
      <w:pPr>
        <w:tabs>
          <w:tab w:val="left" w:pos="580"/>
        </w:tabs>
      </w:pPr>
    </w:p>
    <w:p w14:paraId="6BA16D9C" w14:textId="77777777" w:rsidR="00020907" w:rsidRDefault="00020907" w:rsidP="001F51CD">
      <w:pPr>
        <w:tabs>
          <w:tab w:val="left" w:pos="580"/>
        </w:tabs>
      </w:pPr>
    </w:p>
    <w:p w14:paraId="2AF6FCB9" w14:textId="28B1A38F" w:rsidR="00020907" w:rsidRDefault="00020907" w:rsidP="001F51CD">
      <w:pPr>
        <w:tabs>
          <w:tab w:val="left" w:pos="580"/>
        </w:tabs>
      </w:pPr>
    </w:p>
    <w:p w14:paraId="04281974" w14:textId="77777777" w:rsidR="00A14D27" w:rsidRDefault="00A14D27"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020907" w14:paraId="7F716E91" w14:textId="77777777" w:rsidTr="7D115749">
        <w:trPr>
          <w:trHeight w:val="207"/>
        </w:trPr>
        <w:tc>
          <w:tcPr>
            <w:tcW w:w="6840" w:type="dxa"/>
            <w:gridSpan w:val="2"/>
            <w:tcBorders>
              <w:bottom w:val="single" w:sz="4" w:space="0" w:color="auto"/>
            </w:tcBorders>
            <w:tcMar>
              <w:left w:w="0" w:type="dxa"/>
            </w:tcMar>
          </w:tcPr>
          <w:p w14:paraId="604A1335" w14:textId="77777777" w:rsidR="00020907" w:rsidRPr="006C2117" w:rsidRDefault="77D32503" w:rsidP="00FF3693">
            <w:pPr>
              <w:pStyle w:val="Naslov31"/>
              <w:jc w:val="left"/>
            </w:pPr>
            <w:r>
              <w:lastRenderedPageBreak/>
              <w:t>Cene industrijskih proizvodov slovenskih proizvajalcev, december 2021</w:t>
            </w:r>
          </w:p>
        </w:tc>
        <w:tc>
          <w:tcPr>
            <w:tcW w:w="2799" w:type="dxa"/>
            <w:tcBorders>
              <w:bottom w:val="single" w:sz="4" w:space="0" w:color="auto"/>
            </w:tcBorders>
          </w:tcPr>
          <w:p w14:paraId="14CFB578" w14:textId="77777777" w:rsidR="00020907" w:rsidRPr="006C2117" w:rsidRDefault="00020907" w:rsidP="00FF3693">
            <w:pPr>
              <w:pStyle w:val="Naslov31"/>
            </w:pPr>
          </w:p>
        </w:tc>
      </w:tr>
      <w:tr w:rsidR="00020907" w14:paraId="2728BF6B" w14:textId="77777777" w:rsidTr="7D115749">
        <w:trPr>
          <w:trHeight w:val="1134"/>
        </w:trPr>
        <w:tc>
          <w:tcPr>
            <w:tcW w:w="4982" w:type="dxa"/>
            <w:tcBorders>
              <w:top w:val="single" w:sz="4" w:space="0" w:color="auto"/>
            </w:tcBorders>
            <w:tcMar>
              <w:left w:w="0" w:type="dxa"/>
            </w:tcMar>
          </w:tcPr>
          <w:p w14:paraId="7F908F57" w14:textId="7888EFCD" w:rsidR="00020907" w:rsidRDefault="007849C9" w:rsidP="00FF3693">
            <w:pPr>
              <w:pStyle w:val="Odstavekseznama"/>
              <w:ind w:left="0"/>
            </w:pPr>
            <w:r>
              <w:rPr>
                <w:noProof/>
              </w:rPr>
              <w:drawing>
                <wp:inline distT="0" distB="0" distL="0" distR="0" wp14:anchorId="15F38EAC" wp14:editId="38647499">
                  <wp:extent cx="3193200" cy="258840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3200" cy="2588400"/>
                          </a:xfrm>
                          <a:prstGeom prst="rect">
                            <a:avLst/>
                          </a:prstGeom>
                          <a:noFill/>
                        </pic:spPr>
                      </pic:pic>
                    </a:graphicData>
                  </a:graphic>
                </wp:inline>
              </w:drawing>
            </w:r>
          </w:p>
          <w:p w14:paraId="67D7F7A3" w14:textId="77777777" w:rsidR="00020907" w:rsidRDefault="00020907" w:rsidP="00FF3693">
            <w:pPr>
              <w:pStyle w:val="Odstavekseznama"/>
              <w:ind w:left="0"/>
            </w:pPr>
          </w:p>
          <w:p w14:paraId="63440BF1" w14:textId="77777777" w:rsidR="00020907" w:rsidRDefault="00020907" w:rsidP="00FF3693">
            <w:pPr>
              <w:pStyle w:val="Odstavekseznama"/>
              <w:ind w:left="0"/>
            </w:pPr>
          </w:p>
          <w:p w14:paraId="448B13B0" w14:textId="77777777" w:rsidR="00020907" w:rsidRDefault="00020907" w:rsidP="00FF3693">
            <w:pPr>
              <w:pStyle w:val="Odstavekseznama"/>
              <w:ind w:left="0"/>
            </w:pPr>
          </w:p>
          <w:p w14:paraId="267F196F" w14:textId="77777777" w:rsidR="00020907" w:rsidRDefault="00020907" w:rsidP="00FF3693">
            <w:pPr>
              <w:pStyle w:val="Odstavekseznama"/>
              <w:ind w:left="0"/>
            </w:pPr>
          </w:p>
          <w:p w14:paraId="74FF90A3" w14:textId="77777777" w:rsidR="00020907" w:rsidRDefault="00020907" w:rsidP="00FF3693">
            <w:pPr>
              <w:pStyle w:val="Odstavekseznama"/>
              <w:ind w:left="0"/>
            </w:pPr>
          </w:p>
          <w:p w14:paraId="0B5CAAD7" w14:textId="77777777" w:rsidR="00020907" w:rsidRDefault="00020907" w:rsidP="00FF3693">
            <w:pPr>
              <w:pStyle w:val="Odstavekseznama"/>
              <w:ind w:left="0"/>
            </w:pPr>
          </w:p>
          <w:p w14:paraId="7D12A3B0" w14:textId="77777777" w:rsidR="00020907" w:rsidRDefault="00020907" w:rsidP="00FF3693">
            <w:pPr>
              <w:pStyle w:val="Odstavekseznama"/>
              <w:ind w:left="0"/>
            </w:pPr>
          </w:p>
          <w:p w14:paraId="4F1E8FDF" w14:textId="77777777" w:rsidR="00020907" w:rsidRDefault="00020907" w:rsidP="00FF3693">
            <w:pPr>
              <w:pStyle w:val="Odstavekseznama"/>
              <w:ind w:left="0"/>
            </w:pPr>
          </w:p>
          <w:p w14:paraId="62823E71" w14:textId="77777777" w:rsidR="00020907" w:rsidRDefault="00020907" w:rsidP="00FF3693">
            <w:pPr>
              <w:pStyle w:val="Odstavekseznama"/>
              <w:ind w:left="0"/>
            </w:pPr>
          </w:p>
        </w:tc>
        <w:tc>
          <w:tcPr>
            <w:tcW w:w="4657" w:type="dxa"/>
            <w:gridSpan w:val="2"/>
            <w:tcBorders>
              <w:top w:val="single" w:sz="4" w:space="0" w:color="auto"/>
            </w:tcBorders>
            <w:tcMar>
              <w:left w:w="284" w:type="dxa"/>
            </w:tcMar>
          </w:tcPr>
          <w:p w14:paraId="39A26C7D" w14:textId="4C9D82E8" w:rsidR="00020907" w:rsidRPr="00DF4F0B" w:rsidRDefault="0AAA8B32" w:rsidP="3C000546">
            <w:r w:rsidRPr="3C000546">
              <w:rPr>
                <w:rFonts w:eastAsia="Myriad Pro" w:cs="Myriad Pro"/>
                <w:b/>
                <w:bCs/>
                <w:szCs w:val="20"/>
              </w:rPr>
              <w:t xml:space="preserve">Cene industrijskih proizvodov slovenskih proizvajalcev se </w:t>
            </w:r>
            <w:r w:rsidR="00130CA7">
              <w:rPr>
                <w:rFonts w:eastAsia="Myriad Pro" w:cs="Myriad Pro"/>
                <w:b/>
                <w:bCs/>
                <w:szCs w:val="20"/>
              </w:rPr>
              <w:t>še naprej</w:t>
            </w:r>
            <w:r w:rsidR="00130CA7" w:rsidRPr="3C000546">
              <w:rPr>
                <w:rFonts w:eastAsia="Myriad Pro" w:cs="Myriad Pro"/>
                <w:b/>
                <w:bCs/>
                <w:szCs w:val="20"/>
              </w:rPr>
              <w:t xml:space="preserve"> </w:t>
            </w:r>
            <w:r w:rsidRPr="3C000546">
              <w:rPr>
                <w:rFonts w:eastAsia="Myriad Pro" w:cs="Myriad Pro"/>
                <w:b/>
                <w:bCs/>
                <w:szCs w:val="20"/>
              </w:rPr>
              <w:t>krepijo in so se v preteklem letu povišale za 10,6</w:t>
            </w:r>
            <w:r w:rsidR="00E51A67">
              <w:rPr>
                <w:rFonts w:eastAsia="Myriad Pro" w:cs="Myriad Pro"/>
                <w:b/>
                <w:bCs/>
                <w:szCs w:val="20"/>
              </w:rPr>
              <w:t> </w:t>
            </w:r>
            <w:r w:rsidRPr="3C000546">
              <w:rPr>
                <w:rFonts w:eastAsia="Myriad Pro" w:cs="Myriad Pro"/>
                <w:b/>
                <w:bCs/>
                <w:szCs w:val="20"/>
              </w:rPr>
              <w:t xml:space="preserve">%. </w:t>
            </w:r>
            <w:r w:rsidRPr="3C000546">
              <w:rPr>
                <w:rFonts w:eastAsia="Myriad Pro" w:cs="Myriad Pro"/>
                <w:szCs w:val="20"/>
              </w:rPr>
              <w:t>Rasti cen na domačem in tudi tujih trgi</w:t>
            </w:r>
            <w:r w:rsidR="00352266">
              <w:rPr>
                <w:rFonts w:eastAsia="Myriad Pro" w:cs="Myriad Pro"/>
                <w:szCs w:val="20"/>
              </w:rPr>
              <w:t>h</w:t>
            </w:r>
            <w:r w:rsidRPr="3C000546">
              <w:rPr>
                <w:rFonts w:eastAsia="Myriad Pro" w:cs="Myriad Pro"/>
                <w:szCs w:val="20"/>
              </w:rPr>
              <w:t xml:space="preserve"> so bile izenačene, naraščale pa so cene v vseh namenskih skupinah. K skupni rasti so še naprej največ prispevale cene surovin, ki so bile medletno višje za približno 16</w:t>
            </w:r>
            <w:r w:rsidR="00E51A67">
              <w:rPr>
                <w:rFonts w:eastAsia="Myriad Pro" w:cs="Myriad Pro"/>
                <w:szCs w:val="20"/>
              </w:rPr>
              <w:t> </w:t>
            </w:r>
            <w:r w:rsidRPr="3C000546">
              <w:rPr>
                <w:rFonts w:eastAsia="Myriad Pro" w:cs="Myriad Pro"/>
                <w:szCs w:val="20"/>
              </w:rPr>
              <w:t>%. Medletna rast cen proizvodov za investicije se je od konca tretjega četrtletja lani gibala okrog doseženih ravni (8,5</w:t>
            </w:r>
            <w:r w:rsidR="00E51A67">
              <w:rPr>
                <w:rFonts w:eastAsia="Myriad Pro" w:cs="Myriad Pro"/>
                <w:szCs w:val="20"/>
              </w:rPr>
              <w:t> </w:t>
            </w:r>
            <w:r w:rsidRPr="3C000546">
              <w:rPr>
                <w:rFonts w:eastAsia="Myriad Pro" w:cs="Myriad Pro"/>
                <w:szCs w:val="20"/>
              </w:rPr>
              <w:t>%). Po le nekoliko višji stopnji (9,3</w:t>
            </w:r>
            <w:r w:rsidR="00E51A67">
              <w:rPr>
                <w:rFonts w:eastAsia="Myriad Pro" w:cs="Myriad Pro"/>
                <w:szCs w:val="20"/>
              </w:rPr>
              <w:t> </w:t>
            </w:r>
            <w:r w:rsidRPr="3C000546">
              <w:rPr>
                <w:rFonts w:eastAsia="Myriad Pro" w:cs="Myriad Pro"/>
                <w:szCs w:val="20"/>
              </w:rPr>
              <w:t>%) pa so naraščale tudi cene energentov. Ob solidnem trošenju, ozkih grlih v proizvodnji, dražjih surovinah in energentih se krepijo tudi cene blaga za široko porabo, ki so bile medletno višje za 3,6</w:t>
            </w:r>
            <w:r w:rsidR="00E51A67">
              <w:rPr>
                <w:rFonts w:eastAsia="Myriad Pro" w:cs="Myriad Pro"/>
                <w:szCs w:val="20"/>
              </w:rPr>
              <w:t> </w:t>
            </w:r>
            <w:r w:rsidRPr="3C000546">
              <w:rPr>
                <w:rFonts w:eastAsia="Myriad Pro" w:cs="Myriad Pro"/>
                <w:szCs w:val="20"/>
              </w:rPr>
              <w:t>%. Nekoliko hitreje naraščajo cene v skupini trajnega blaga, ki so bile višje za 4,4</w:t>
            </w:r>
            <w:r w:rsidR="00E51A67">
              <w:rPr>
                <w:rFonts w:eastAsia="Myriad Pro" w:cs="Myriad Pro"/>
                <w:szCs w:val="20"/>
              </w:rPr>
              <w:t xml:space="preserve"> </w:t>
            </w:r>
            <w:r w:rsidRPr="3C000546">
              <w:rPr>
                <w:rFonts w:eastAsia="Myriad Pro" w:cs="Myriad Pro"/>
                <w:szCs w:val="20"/>
              </w:rPr>
              <w:t xml:space="preserve">%, medletna rast cen netrajnega blaga za široko porabo </w:t>
            </w:r>
            <w:r w:rsidR="00203615">
              <w:rPr>
                <w:rFonts w:eastAsia="Myriad Pro" w:cs="Myriad Pro"/>
                <w:szCs w:val="20"/>
              </w:rPr>
              <w:t xml:space="preserve">pa </w:t>
            </w:r>
            <w:r w:rsidRPr="3C000546">
              <w:rPr>
                <w:rFonts w:eastAsia="Myriad Pro" w:cs="Myriad Pro"/>
                <w:szCs w:val="20"/>
              </w:rPr>
              <w:t xml:space="preserve">je bila 3,4-odstotna. </w:t>
            </w:r>
            <w:r w:rsidR="00020907">
              <w:t xml:space="preserve"> </w:t>
            </w:r>
          </w:p>
        </w:tc>
      </w:tr>
    </w:tbl>
    <w:p w14:paraId="614434B3" w14:textId="77777777" w:rsidR="00020907" w:rsidRDefault="00020907" w:rsidP="001F51CD">
      <w:pPr>
        <w:tabs>
          <w:tab w:val="left" w:pos="580"/>
        </w:tabs>
      </w:pPr>
    </w:p>
    <w:p w14:paraId="10A6A626" w14:textId="77777777" w:rsidR="00020907" w:rsidRDefault="00020907" w:rsidP="001F51CD">
      <w:pPr>
        <w:tabs>
          <w:tab w:val="left" w:pos="580"/>
        </w:tabs>
      </w:pPr>
    </w:p>
    <w:p w14:paraId="567780AA" w14:textId="77777777" w:rsidR="00FE7254" w:rsidRPr="00FE7254" w:rsidRDefault="00FE7254" w:rsidP="00FE7254">
      <w:pPr>
        <w:sectPr w:rsidR="00FE7254" w:rsidRPr="00FE7254" w:rsidSect="00363E63">
          <w:footerReference w:type="default" r:id="rId10"/>
          <w:headerReference w:type="first" r:id="rId11"/>
          <w:footerReference w:type="first" r:id="rId12"/>
          <w:type w:val="continuous"/>
          <w:pgSz w:w="11906" w:h="16838"/>
          <w:pgMar w:top="1134" w:right="1134" w:bottom="1021" w:left="1134" w:header="709" w:footer="397" w:gutter="0"/>
          <w:cols w:space="708"/>
          <w:titlePg/>
          <w:docGrid w:linePitch="360"/>
        </w:sectPr>
      </w:pPr>
    </w:p>
    <w:p w14:paraId="418FD3F9" w14:textId="77777777" w:rsidR="00652795" w:rsidRDefault="00652795" w:rsidP="001F51CD">
      <w:pPr>
        <w:tabs>
          <w:tab w:val="left" w:pos="580"/>
        </w:tabs>
      </w:pPr>
    </w:p>
    <w:p w14:paraId="20481D02" w14:textId="6E535280" w:rsidR="00FE7254" w:rsidRPr="00FE7254" w:rsidRDefault="00B440ED" w:rsidP="00DF3707">
      <w:pPr>
        <w:tabs>
          <w:tab w:val="left" w:pos="580"/>
        </w:tabs>
        <w:sectPr w:rsidR="00FE7254" w:rsidRPr="00FE7254" w:rsidSect="00363E63">
          <w:headerReference w:type="default" r:id="rId13"/>
          <w:footerReference w:type="default" r:id="rId14"/>
          <w:pgSz w:w="11906" w:h="16838"/>
          <w:pgMar w:top="1134" w:right="1134" w:bottom="1021" w:left="1134" w:header="709" w:footer="397" w:gutter="0"/>
          <w:cols w:space="708"/>
          <w:docGrid w:linePitch="360"/>
        </w:sectPr>
      </w:pPr>
      <w:r w:rsidRPr="00B440ED">
        <w:rPr>
          <w:noProof/>
        </w:rPr>
        <w:drawing>
          <wp:inline distT="0" distB="0" distL="0" distR="0" wp14:anchorId="76AC1372" wp14:editId="750B80C2">
            <wp:extent cx="5918400" cy="9036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8400" cy="9036000"/>
                    </a:xfrm>
                    <a:prstGeom prst="rect">
                      <a:avLst/>
                    </a:prstGeom>
                    <a:noFill/>
                    <a:ln>
                      <a:noFill/>
                    </a:ln>
                  </pic:spPr>
                </pic:pic>
              </a:graphicData>
            </a:graphic>
          </wp:inline>
        </w:drawing>
      </w:r>
    </w:p>
    <w:p w14:paraId="098D9AE4" w14:textId="77777777" w:rsidR="002E69B6" w:rsidRPr="00887D7E" w:rsidRDefault="00363E63" w:rsidP="001F51CD">
      <w:pPr>
        <w:tabs>
          <w:tab w:val="left" w:pos="580"/>
        </w:tabs>
      </w:pPr>
      <w:r>
        <w:rPr>
          <w:noProof/>
        </w:rPr>
        <w:lastRenderedPageBreak/>
        <w:drawing>
          <wp:inline distT="0" distB="0" distL="0" distR="0" wp14:anchorId="7F4F65EA" wp14:editId="2405ACEF">
            <wp:extent cx="6075079" cy="860023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16">
                      <a:extLst>
                        <a:ext uri="{28A0092B-C50C-407E-A947-70E740481C1C}">
                          <a14:useLocalDpi xmlns:a14="http://schemas.microsoft.com/office/drawing/2010/main" val="0"/>
                        </a:ext>
                      </a:extLst>
                    </a:blip>
                    <a:stretch>
                      <a:fillRect/>
                    </a:stretch>
                  </pic:blipFill>
                  <pic:spPr>
                    <a:xfrm>
                      <a:off x="0" y="0"/>
                      <a:ext cx="6075079" cy="8600233"/>
                    </a:xfrm>
                    <a:prstGeom prst="rect">
                      <a:avLst/>
                    </a:prstGeom>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23603" w14:textId="77777777" w:rsidR="00B60232" w:rsidRDefault="00B60232" w:rsidP="0063497B">
      <w:pPr>
        <w:spacing w:line="240" w:lineRule="auto"/>
      </w:pPr>
      <w:r>
        <w:separator/>
      </w:r>
    </w:p>
  </w:endnote>
  <w:endnote w:type="continuationSeparator" w:id="0">
    <w:p w14:paraId="6204BF5E" w14:textId="77777777" w:rsidR="00B60232" w:rsidRDefault="00B60232"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D2BB" w14:textId="77777777" w:rsidR="0029405F" w:rsidRPr="00363E63" w:rsidRDefault="00120162"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195B" w14:textId="77777777" w:rsidR="0029405F" w:rsidRPr="00363E63" w:rsidRDefault="00120162"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D275" w14:textId="77777777" w:rsidR="00FE7254" w:rsidRPr="001E3956" w:rsidRDefault="0074466E" w:rsidP="001E3956">
    <w:pPr>
      <w:pStyle w:val="Noga"/>
      <w:jc w:val="left"/>
      <w:rPr>
        <w:rFonts w:cs="Helv"/>
        <w:bCs/>
        <w:color w:val="000000"/>
        <w:sz w:val="18"/>
        <w:szCs w:val="18"/>
      </w:rPr>
    </w:pPr>
    <w:r w:rsidRPr="001E3956">
      <w:rPr>
        <w:rFonts w:cs="Helv"/>
        <w:bCs/>
        <w:color w:val="000000"/>
        <w:sz w:val="18"/>
        <w:szCs w:val="18"/>
      </w:rPr>
      <w:t xml:space="preserve">Za bralnike zaslona dostopna oblika tabel se nahaja na spletni strani UMAR, med prilogami ob aktualnih grafih tedna </w:t>
    </w:r>
    <w:r w:rsidR="001E3956">
      <w:rPr>
        <w:rFonts w:cs="Helv"/>
        <w:bCs/>
        <w:color w:val="000000"/>
        <w:sz w:val="18"/>
        <w:szCs w:val="18"/>
      </w:rPr>
      <w:br/>
    </w:r>
    <w:r w:rsidRPr="001E3956">
      <w:rPr>
        <w:rFonts w:cs="Helv"/>
        <w:bCs/>
        <w:color w:val="000000"/>
        <w:sz w:val="18"/>
        <w:szCs w:val="18"/>
      </w:rPr>
      <w:t>(Aktualni podatki v Sloveniji).</w:t>
    </w:r>
  </w:p>
  <w:p w14:paraId="43E49B2F" w14:textId="77777777" w:rsidR="0074466E" w:rsidRPr="00893FAF" w:rsidRDefault="0074466E" w:rsidP="00FE7254">
    <w:pPr>
      <w:pStyle w:val="Noga"/>
      <w:rPr>
        <w:rFonts w:cs="Helv"/>
        <w:b/>
        <w:bCs/>
        <w:color w:val="000000"/>
        <w:sz w:val="18"/>
        <w:szCs w:val="18"/>
      </w:rPr>
    </w:pPr>
  </w:p>
  <w:p w14:paraId="34223B42" w14:textId="77777777" w:rsidR="00363E63" w:rsidRPr="00363E63" w:rsidRDefault="00120162" w:rsidP="00FE7254">
    <w:pPr>
      <w:pStyle w:val="Naslov31"/>
      <w:tabs>
        <w:tab w:val="right" w:pos="9638"/>
      </w:tabs>
      <w:spacing w:line="240" w:lineRule="auto"/>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37931804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C93D"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F47F" w14:textId="77777777" w:rsidR="00B60232" w:rsidRDefault="00B60232" w:rsidP="0063497B">
      <w:pPr>
        <w:spacing w:line="240" w:lineRule="auto"/>
      </w:pPr>
      <w:r>
        <w:separator/>
      </w:r>
    </w:p>
  </w:footnote>
  <w:footnote w:type="continuationSeparator" w:id="0">
    <w:p w14:paraId="6E3AE77F" w14:textId="77777777" w:rsidR="00B60232" w:rsidRDefault="00B60232" w:rsidP="0063497B">
      <w:pPr>
        <w:spacing w:line="240" w:lineRule="auto"/>
      </w:pPr>
      <w:r>
        <w:continuationSeparator/>
      </w:r>
    </w:p>
  </w:footnote>
  <w:footnote w:id="1">
    <w:p w14:paraId="58D40C93" w14:textId="77777777" w:rsidR="00522635" w:rsidRDefault="00522635" w:rsidP="00522635">
      <w:pPr>
        <w:pStyle w:val="Sprotnaopomba-besedilo"/>
      </w:pPr>
      <w:r>
        <w:rPr>
          <w:rStyle w:val="Sprotnaopomba-sklic"/>
        </w:rPr>
        <w:footnoteRef/>
      </w:r>
      <w:r>
        <w:t xml:space="preserve"> V primerjavi z enakim obdobjem leta 2019 se je delež delovno aktivnih tujcev v vseh omenjenih dejavnostih povečal.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B9F1" w14:textId="77777777" w:rsidR="0029405F" w:rsidRDefault="00652795" w:rsidP="00652795">
    <w:pPr>
      <w:jc w:val="right"/>
    </w:pPr>
    <w:r w:rsidRPr="0029405F">
      <w:rPr>
        <w:noProof/>
      </w:rPr>
      <w:drawing>
        <wp:anchor distT="0" distB="0" distL="114300" distR="114300" simplePos="0" relativeHeight="251672576"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w:t>
    </w:r>
    <w:r w:rsidR="00020907">
      <w:t>4</w:t>
    </w:r>
    <w:r>
      <w:t xml:space="preserve">. </w:t>
    </w:r>
    <w:r w:rsidR="00020907">
      <w:t>januar</w:t>
    </w:r>
    <w:r>
      <w:t xml:space="preserve"> 20</w:t>
    </w:r>
    <w:r w:rsidR="00020907">
      <w:t>22</w:t>
    </w:r>
  </w:p>
  <w:p w14:paraId="60B82785" w14:textId="77777777" w:rsidR="00652795" w:rsidRDefault="00652795" w:rsidP="00FE7254">
    <w:pPr>
      <w:jc w:val="right"/>
    </w:pPr>
  </w:p>
  <w:p w14:paraId="13D0F269" w14:textId="77777777" w:rsidR="00FE7254" w:rsidRDefault="00FE7254" w:rsidP="00FE7254">
    <w:pPr>
      <w:jc w:val="right"/>
    </w:pPr>
  </w:p>
  <w:p w14:paraId="51F0587F"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B676" w14:textId="77777777" w:rsidR="00363E63" w:rsidRPr="001E3956" w:rsidRDefault="001E3956">
    <w:pPr>
      <w:pStyle w:val="Glava"/>
      <w:rPr>
        <w:b/>
        <w:bCs/>
      </w:rPr>
    </w:pPr>
    <w:r w:rsidRPr="001750C3">
      <w:rPr>
        <w:b/>
        <w:bCs/>
      </w:rPr>
      <w:t>Tabela: izbrani makroekonomski kazalci za Slovenijo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48E6" w14:textId="77777777" w:rsidR="00363E63" w:rsidRDefault="00363E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61"/>
    <w:rsid w:val="00001002"/>
    <w:rsid w:val="00020907"/>
    <w:rsid w:val="000703C7"/>
    <w:rsid w:val="00070B6E"/>
    <w:rsid w:val="00077F13"/>
    <w:rsid w:val="000A5A42"/>
    <w:rsid w:val="000A7BDC"/>
    <w:rsid w:val="000F6262"/>
    <w:rsid w:val="00115E8D"/>
    <w:rsid w:val="00120162"/>
    <w:rsid w:val="00123D52"/>
    <w:rsid w:val="00130CA7"/>
    <w:rsid w:val="00133E20"/>
    <w:rsid w:val="00142185"/>
    <w:rsid w:val="0019138D"/>
    <w:rsid w:val="001A0C98"/>
    <w:rsid w:val="001B6AE7"/>
    <w:rsid w:val="001D6793"/>
    <w:rsid w:val="001E3956"/>
    <w:rsid w:val="001F51CD"/>
    <w:rsid w:val="00203615"/>
    <w:rsid w:val="00243593"/>
    <w:rsid w:val="0026509A"/>
    <w:rsid w:val="002804D4"/>
    <w:rsid w:val="0029405F"/>
    <w:rsid w:val="002B4319"/>
    <w:rsid w:val="002B4C3A"/>
    <w:rsid w:val="002B5361"/>
    <w:rsid w:val="002D46EF"/>
    <w:rsid w:val="002E69B6"/>
    <w:rsid w:val="002E6FAD"/>
    <w:rsid w:val="00306767"/>
    <w:rsid w:val="00312D09"/>
    <w:rsid w:val="00352266"/>
    <w:rsid w:val="00363E63"/>
    <w:rsid w:val="003A49D8"/>
    <w:rsid w:val="003B167B"/>
    <w:rsid w:val="003C614E"/>
    <w:rsid w:val="0040719E"/>
    <w:rsid w:val="00431EDD"/>
    <w:rsid w:val="004368FB"/>
    <w:rsid w:val="004377E1"/>
    <w:rsid w:val="00452589"/>
    <w:rsid w:val="00452804"/>
    <w:rsid w:val="00464D01"/>
    <w:rsid w:val="00477274"/>
    <w:rsid w:val="004970E5"/>
    <w:rsid w:val="004D63EF"/>
    <w:rsid w:val="00522635"/>
    <w:rsid w:val="00534457"/>
    <w:rsid w:val="00546DBF"/>
    <w:rsid w:val="00561C9A"/>
    <w:rsid w:val="0058ED17"/>
    <w:rsid w:val="006269CE"/>
    <w:rsid w:val="0063497B"/>
    <w:rsid w:val="00642100"/>
    <w:rsid w:val="00650921"/>
    <w:rsid w:val="00652795"/>
    <w:rsid w:val="00671853"/>
    <w:rsid w:val="006875F1"/>
    <w:rsid w:val="006965FC"/>
    <w:rsid w:val="006A6820"/>
    <w:rsid w:val="006C2117"/>
    <w:rsid w:val="006E1C81"/>
    <w:rsid w:val="007016EF"/>
    <w:rsid w:val="00705572"/>
    <w:rsid w:val="00731B6F"/>
    <w:rsid w:val="0074452D"/>
    <w:rsid w:val="0074466E"/>
    <w:rsid w:val="00746F7B"/>
    <w:rsid w:val="007849C9"/>
    <w:rsid w:val="0079410F"/>
    <w:rsid w:val="007A0B59"/>
    <w:rsid w:val="007B7110"/>
    <w:rsid w:val="007D0791"/>
    <w:rsid w:val="007F1307"/>
    <w:rsid w:val="00812D81"/>
    <w:rsid w:val="00860582"/>
    <w:rsid w:val="008675DA"/>
    <w:rsid w:val="00887D7E"/>
    <w:rsid w:val="0089259B"/>
    <w:rsid w:val="008D6725"/>
    <w:rsid w:val="00910265"/>
    <w:rsid w:val="0093604B"/>
    <w:rsid w:val="00946C4C"/>
    <w:rsid w:val="00951C61"/>
    <w:rsid w:val="009577CC"/>
    <w:rsid w:val="009918B9"/>
    <w:rsid w:val="009A1E12"/>
    <w:rsid w:val="009D311B"/>
    <w:rsid w:val="009D52CC"/>
    <w:rsid w:val="00A072AA"/>
    <w:rsid w:val="00A107AD"/>
    <w:rsid w:val="00A14D27"/>
    <w:rsid w:val="00A35FCE"/>
    <w:rsid w:val="00A42839"/>
    <w:rsid w:val="00A7050D"/>
    <w:rsid w:val="00A8329F"/>
    <w:rsid w:val="00AA1F25"/>
    <w:rsid w:val="00AB0C65"/>
    <w:rsid w:val="00AC328B"/>
    <w:rsid w:val="00AF3058"/>
    <w:rsid w:val="00B00E5E"/>
    <w:rsid w:val="00B220A3"/>
    <w:rsid w:val="00B27C10"/>
    <w:rsid w:val="00B440ED"/>
    <w:rsid w:val="00B451B6"/>
    <w:rsid w:val="00B52F7E"/>
    <w:rsid w:val="00B60232"/>
    <w:rsid w:val="00B738F6"/>
    <w:rsid w:val="00B8300F"/>
    <w:rsid w:val="00BB6DF6"/>
    <w:rsid w:val="00BC4859"/>
    <w:rsid w:val="00BF2574"/>
    <w:rsid w:val="00C6109F"/>
    <w:rsid w:val="00C80811"/>
    <w:rsid w:val="00CA45F7"/>
    <w:rsid w:val="00CC0588"/>
    <w:rsid w:val="00CF6407"/>
    <w:rsid w:val="00D312B6"/>
    <w:rsid w:val="00D51DF7"/>
    <w:rsid w:val="00DB1C32"/>
    <w:rsid w:val="00DC29F1"/>
    <w:rsid w:val="00DE2EA9"/>
    <w:rsid w:val="00DE4ACB"/>
    <w:rsid w:val="00DE72F6"/>
    <w:rsid w:val="00DF3707"/>
    <w:rsid w:val="00DF4F0B"/>
    <w:rsid w:val="00E02749"/>
    <w:rsid w:val="00E256D8"/>
    <w:rsid w:val="00E51A67"/>
    <w:rsid w:val="00E7791D"/>
    <w:rsid w:val="00ED65D4"/>
    <w:rsid w:val="00EE0D38"/>
    <w:rsid w:val="00EE7E6E"/>
    <w:rsid w:val="00F11C3D"/>
    <w:rsid w:val="00F409C1"/>
    <w:rsid w:val="00F41E1A"/>
    <w:rsid w:val="00F43F6C"/>
    <w:rsid w:val="00F47B15"/>
    <w:rsid w:val="00F545EF"/>
    <w:rsid w:val="00F65156"/>
    <w:rsid w:val="00F66E1B"/>
    <w:rsid w:val="00F930F6"/>
    <w:rsid w:val="00FA45E3"/>
    <w:rsid w:val="00FB5533"/>
    <w:rsid w:val="00FE12B1"/>
    <w:rsid w:val="00FE7254"/>
    <w:rsid w:val="00FF1397"/>
    <w:rsid w:val="02ACF203"/>
    <w:rsid w:val="08E21B1C"/>
    <w:rsid w:val="0AAA8B32"/>
    <w:rsid w:val="0CB674B8"/>
    <w:rsid w:val="1BCF88E6"/>
    <w:rsid w:val="21B22767"/>
    <w:rsid w:val="32D2BE40"/>
    <w:rsid w:val="383F7A3B"/>
    <w:rsid w:val="3B3F6D6E"/>
    <w:rsid w:val="3C000546"/>
    <w:rsid w:val="4307551D"/>
    <w:rsid w:val="47C4DD0D"/>
    <w:rsid w:val="53785053"/>
    <w:rsid w:val="5981734B"/>
    <w:rsid w:val="604C7080"/>
    <w:rsid w:val="630113D0"/>
    <w:rsid w:val="65461A14"/>
    <w:rsid w:val="6A62DEBF"/>
    <w:rsid w:val="77D32503"/>
    <w:rsid w:val="7D115749"/>
    <w:rsid w:val="7DDE52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C84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basedOn w:val="Navaden"/>
    <w:link w:val="Sprotnaopomba-besediloZnak"/>
    <w:uiPriority w:val="99"/>
    <w:semiHidden/>
    <w:unhideWhenUsed/>
    <w:rsid w:val="00FE7254"/>
    <w:pPr>
      <w:spacing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FE7254"/>
    <w:rPr>
      <w:rFonts w:ascii="Myriad Pro" w:hAnsi="Myriad Pro"/>
      <w:sz w:val="16"/>
      <w:szCs w:val="20"/>
    </w:rPr>
  </w:style>
  <w:style w:type="character" w:styleId="Sprotnaopomba-sklic">
    <w:name w:val="footnote reference"/>
    <w:basedOn w:val="Privzetapisavaodstavka"/>
    <w:uiPriority w:val="99"/>
    <w:semiHidden/>
    <w:unhideWhenUsed/>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paragraph" w:styleId="Revizija">
    <w:name w:val="Revision"/>
    <w:hidden/>
    <w:uiPriority w:val="99"/>
    <w:semiHidden/>
    <w:rsid w:val="00130CA7"/>
    <w:pPr>
      <w:spacing w:after="0" w:line="240" w:lineRule="auto"/>
    </w:pPr>
    <w:rPr>
      <w:rFonts w:ascii="Myriad Pro" w:hAnsi="Myriad Pro"/>
      <w:sz w:val="20"/>
    </w:rPr>
  </w:style>
  <w:style w:type="character" w:styleId="Pripombasklic">
    <w:name w:val="annotation reference"/>
    <w:basedOn w:val="Privzetapisavaodstavka"/>
    <w:uiPriority w:val="99"/>
    <w:semiHidden/>
    <w:unhideWhenUsed/>
    <w:rsid w:val="008675DA"/>
    <w:rPr>
      <w:sz w:val="16"/>
      <w:szCs w:val="16"/>
    </w:rPr>
  </w:style>
  <w:style w:type="paragraph" w:styleId="Pripombabesedilo">
    <w:name w:val="annotation text"/>
    <w:basedOn w:val="Navaden"/>
    <w:link w:val="PripombabesediloZnak"/>
    <w:uiPriority w:val="99"/>
    <w:semiHidden/>
    <w:unhideWhenUsed/>
    <w:rsid w:val="008675DA"/>
    <w:pPr>
      <w:spacing w:line="240" w:lineRule="auto"/>
    </w:pPr>
    <w:rPr>
      <w:szCs w:val="20"/>
    </w:rPr>
  </w:style>
  <w:style w:type="character" w:customStyle="1" w:styleId="PripombabesediloZnak">
    <w:name w:val="Pripomba – besedilo Znak"/>
    <w:basedOn w:val="Privzetapisavaodstavka"/>
    <w:link w:val="Pripombabesedilo"/>
    <w:uiPriority w:val="99"/>
    <w:semiHidden/>
    <w:rsid w:val="008675DA"/>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8675DA"/>
    <w:rPr>
      <w:b/>
      <w:bCs/>
    </w:rPr>
  </w:style>
  <w:style w:type="character" w:customStyle="1" w:styleId="ZadevapripombeZnak">
    <w:name w:val="Zadeva pripombe Znak"/>
    <w:basedOn w:val="PripombabesediloZnak"/>
    <w:link w:val="Zadevapripombe"/>
    <w:uiPriority w:val="99"/>
    <w:semiHidden/>
    <w:rsid w:val="008675DA"/>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297B9-F577-4863-9E29-E1439F6A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455</Words>
  <Characters>2594</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2022-01-24T07:34:00Z</dcterms:created>
  <dcterms:modified xsi:type="dcterms:W3CDTF">2022-01-24T07:34:00Z</dcterms:modified>
</cp:coreProperties>
</file>