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6F403" w14:textId="77777777" w:rsidR="0026694E" w:rsidRPr="0026694E" w:rsidRDefault="0026694E" w:rsidP="0026694E">
      <w:pPr>
        <w:pStyle w:val="Naslov11"/>
      </w:pPr>
      <w:bookmarkStart w:id="0" w:name="_GoBack"/>
      <w:bookmarkEnd w:id="0"/>
      <w:r>
        <w:t>CURRENT ECONOMIC TRENDS</w:t>
      </w:r>
    </w:p>
    <w:p w14:paraId="29DBD92E" w14:textId="7505AC4B" w:rsidR="0026694E" w:rsidRPr="00B913B5" w:rsidRDefault="00E0162D" w:rsidP="00A6126E">
      <w:pPr>
        <w:jc w:val="left"/>
        <w:rPr>
          <w:sz w:val="32"/>
          <w:szCs w:val="36"/>
        </w:rPr>
      </w:pPr>
      <w:r>
        <w:rPr>
          <w:sz w:val="32"/>
        </w:rPr>
        <w:t>4 June–8 July 2022</w:t>
      </w:r>
    </w:p>
    <w:p w14:paraId="72277520" w14:textId="77777777" w:rsidR="00DF4F0B" w:rsidRDefault="00DF4F0B"/>
    <w:p w14:paraId="0929735D" w14:textId="717A22FC" w:rsidR="007534F2" w:rsidRPr="007534F2" w:rsidRDefault="00623BFC" w:rsidP="007534F2">
      <w:pPr>
        <w:tabs>
          <w:tab w:val="left" w:pos="580"/>
        </w:tabs>
        <w:rPr>
          <w:rFonts w:eastAsia="Myriad Pro" w:cs="Myriad Pro"/>
        </w:rPr>
      </w:pPr>
      <w:bookmarkStart w:id="1" w:name="_Hlk54096721"/>
      <w:r>
        <w:t xml:space="preserve">At the end of June, 53,860 people were unemployed, which is almost a quarter less than a year ago and the lowest level since 1990. The number of long-term unemployed </w:t>
      </w:r>
      <w:r w:rsidR="007D79D0">
        <w:t>ha</w:t>
      </w:r>
      <w:r>
        <w:t>s also declin</w:t>
      </w:r>
      <w:r w:rsidR="007D79D0">
        <w:t>ed</w:t>
      </w:r>
      <w:r>
        <w:t>. Trade in goods with EU Member States increased slightly in May and was significantly higher than in the same period last year. Uncertainty in the international environment (war in Ukraine, rising inflation, supply chain disruptions) has also had a noticeable impact on sentiment in export-oriented activities in recent months, as export orders continue to decline</w:t>
      </w:r>
      <w:r w:rsidR="00AE68BC">
        <w:t xml:space="preserve"> and</w:t>
      </w:r>
      <w:r>
        <w:t xml:space="preserve"> export expectations show strong monthly fluctuations. According to our estimates, higher prices may have already affected household </w:t>
      </w:r>
      <w:r w:rsidR="00A023CF">
        <w:t>electricity</w:t>
      </w:r>
      <w:r w:rsidR="00C226E2">
        <w:t xml:space="preserve"> </w:t>
      </w:r>
      <w:r>
        <w:t xml:space="preserve">consumption, while industrial consumption was also affected by supply chain disruptions, material shortages and production adjustments, especially in energy-intensive companies. </w:t>
      </w:r>
    </w:p>
    <w:p w14:paraId="3E6071F9" w14:textId="17D60924" w:rsidR="00623BFC" w:rsidRDefault="00623BFC" w:rsidP="00623BFC">
      <w:pPr>
        <w:tabs>
          <w:tab w:val="left" w:pos="580"/>
        </w:tabs>
        <w:rPr>
          <w:color w:val="DBDBDB" w:themeColor="background2"/>
        </w:rPr>
      </w:pPr>
    </w:p>
    <w:p w14:paraId="15012FE2" w14:textId="77777777" w:rsidR="00623BFC" w:rsidRPr="00516266" w:rsidRDefault="00623BFC" w:rsidP="00623BFC">
      <w:pPr>
        <w:tabs>
          <w:tab w:val="left" w:pos="580"/>
        </w:tabs>
        <w:rPr>
          <w:color w:val="DBDBDB" w:themeColor="background2"/>
          <w:szCs w:val="20"/>
        </w:rPr>
      </w:pPr>
    </w:p>
    <w:bookmarkEnd w:id="1"/>
    <w:p w14:paraId="69969D15" w14:textId="77777777" w:rsidR="00623BFC" w:rsidRDefault="00623BFC" w:rsidP="00623BF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23BFC" w:rsidRPr="006C2117" w14:paraId="62DEBE36" w14:textId="77777777" w:rsidTr="00EF0F50">
        <w:trPr>
          <w:trHeight w:val="207"/>
        </w:trPr>
        <w:tc>
          <w:tcPr>
            <w:tcW w:w="4819" w:type="dxa"/>
            <w:tcBorders>
              <w:bottom w:val="single" w:sz="4" w:space="0" w:color="auto"/>
            </w:tcBorders>
            <w:tcMar>
              <w:left w:w="0" w:type="dxa"/>
            </w:tcMar>
          </w:tcPr>
          <w:p w14:paraId="5215205F" w14:textId="77777777" w:rsidR="00623BFC" w:rsidRPr="006C2117" w:rsidRDefault="00623BFC" w:rsidP="00EF0F50">
            <w:pPr>
              <w:pStyle w:val="Naslov310"/>
              <w:jc w:val="left"/>
            </w:pPr>
            <w:r>
              <w:t>Registered unemployment, June 2022</w:t>
            </w:r>
          </w:p>
        </w:tc>
        <w:tc>
          <w:tcPr>
            <w:tcW w:w="4820" w:type="dxa"/>
            <w:gridSpan w:val="2"/>
            <w:tcBorders>
              <w:bottom w:val="single" w:sz="4" w:space="0" w:color="auto"/>
            </w:tcBorders>
          </w:tcPr>
          <w:p w14:paraId="0F87AC04" w14:textId="77777777" w:rsidR="00623BFC" w:rsidRPr="006C2117" w:rsidRDefault="00623BFC" w:rsidP="00EF0F50">
            <w:pPr>
              <w:pStyle w:val="Naslov310"/>
            </w:pPr>
          </w:p>
        </w:tc>
      </w:tr>
      <w:tr w:rsidR="00623BFC" w:rsidRPr="00DF4F0B" w14:paraId="3E0A4B41" w14:textId="77777777" w:rsidTr="00EF0F50">
        <w:trPr>
          <w:trHeight w:val="1134"/>
        </w:trPr>
        <w:tc>
          <w:tcPr>
            <w:tcW w:w="4982" w:type="dxa"/>
            <w:gridSpan w:val="2"/>
            <w:tcBorders>
              <w:top w:val="single" w:sz="4" w:space="0" w:color="auto"/>
            </w:tcBorders>
            <w:tcMar>
              <w:left w:w="0" w:type="dxa"/>
            </w:tcMar>
          </w:tcPr>
          <w:p w14:paraId="163416A1" w14:textId="5F526E9D" w:rsidR="00623BFC" w:rsidRDefault="0083343D" w:rsidP="00EF0F50">
            <w:pPr>
              <w:pStyle w:val="ListParagraph"/>
              <w:ind w:left="0"/>
            </w:pPr>
            <w:r>
              <w:rPr>
                <w:noProof/>
              </w:rPr>
              <w:drawing>
                <wp:inline distT="0" distB="0" distL="0" distR="0" wp14:anchorId="448C930C" wp14:editId="786A773D">
                  <wp:extent cx="3139200" cy="2534400"/>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200" cy="2534400"/>
                          </a:xfrm>
                          <a:prstGeom prst="rect">
                            <a:avLst/>
                          </a:prstGeom>
                          <a:noFill/>
                        </pic:spPr>
                      </pic:pic>
                    </a:graphicData>
                  </a:graphic>
                </wp:inline>
              </w:drawing>
            </w:r>
          </w:p>
        </w:tc>
        <w:tc>
          <w:tcPr>
            <w:tcW w:w="4657" w:type="dxa"/>
            <w:tcBorders>
              <w:top w:val="single" w:sz="4" w:space="0" w:color="auto"/>
            </w:tcBorders>
            <w:tcMar>
              <w:left w:w="284" w:type="dxa"/>
            </w:tcMar>
          </w:tcPr>
          <w:p w14:paraId="6754DF60" w14:textId="77777777" w:rsidR="00623BFC" w:rsidRPr="00DF4F0B" w:rsidRDefault="00623BFC" w:rsidP="00EF0F50">
            <w:r>
              <w:rPr>
                <w:b/>
                <w:color w:val="000000" w:themeColor="text1"/>
              </w:rPr>
              <w:t>The number of registered unemployed persons reached a new low in June.</w:t>
            </w:r>
            <w:r>
              <w:rPr>
                <w:rStyle w:val="FootnoteReference"/>
                <w:rFonts w:eastAsia="Myriad Pro" w:cs="Myriad Pro"/>
                <w:b/>
                <w:bCs/>
                <w:color w:val="000000" w:themeColor="text1"/>
              </w:rPr>
              <w:footnoteReference w:id="1"/>
            </w:r>
            <w:r>
              <w:rPr>
                <w:b/>
                <w:color w:val="000000" w:themeColor="text1"/>
              </w:rPr>
              <w:t xml:space="preserve"> </w:t>
            </w:r>
            <w:r>
              <w:t>The month-on-month decrease was the smallest (1.7%, seasonally adjusted) in 15 months.</w:t>
            </w:r>
            <w:r>
              <w:rPr>
                <w:color w:val="000000" w:themeColor="text1"/>
              </w:rPr>
              <w:t xml:space="preserve"> At the end of June, 53,860 people were unemployed (original data), which is 24.2% less than a year ago. Under conditions of high demand for labour, which is also reflected in the high vacancy rate, the number of long-term unemployed</w:t>
            </w:r>
            <w:r>
              <w:rPr>
                <w:rStyle w:val="FootnoteReference"/>
                <w:rFonts w:eastAsia="Myriad Pro" w:cs="Myriad Pro"/>
                <w:bCs/>
                <w:color w:val="000000" w:themeColor="text1"/>
              </w:rPr>
              <w:footnoteReference w:id="2"/>
            </w:r>
            <w:r>
              <w:rPr>
                <w:color w:val="000000" w:themeColor="text1"/>
              </w:rPr>
              <w:t xml:space="preserve"> has also been declining since May last year – their number fell by a good quarter year-on-year in June. Among the long-term unemployed, the share of people who have been unemployed for more than two years increased (71%), as they have more difficulties in finding a job than other long-term unemployed.</w:t>
            </w:r>
          </w:p>
        </w:tc>
      </w:tr>
    </w:tbl>
    <w:p w14:paraId="2BF5CD3D" w14:textId="77777777" w:rsidR="00623BFC" w:rsidRDefault="00623BFC" w:rsidP="00623BFC"/>
    <w:p w14:paraId="48C4AE69" w14:textId="3C63C8B0" w:rsidR="00E83869" w:rsidRDefault="00E83869" w:rsidP="006D5A1D">
      <w:pPr>
        <w:tabs>
          <w:tab w:val="left" w:pos="580"/>
        </w:tabs>
      </w:pPr>
    </w:p>
    <w:p w14:paraId="5B16D9E8" w14:textId="77777777" w:rsidR="00E83869" w:rsidRDefault="00E83869" w:rsidP="006D5A1D">
      <w:pPr>
        <w:tabs>
          <w:tab w:val="left" w:pos="580"/>
        </w:tabs>
      </w:pPr>
    </w:p>
    <w:p w14:paraId="0319BD2E" w14:textId="77777777" w:rsidR="00E77ACA" w:rsidRDefault="00E77ACA" w:rsidP="006D5A1D">
      <w:pPr>
        <w:tabs>
          <w:tab w:val="left" w:pos="580"/>
        </w:tabs>
        <w:sectPr w:rsidR="00E77ACA" w:rsidSect="006D5A1D">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p w14:paraId="0D7B3BB8" w14:textId="77777777" w:rsidR="005C54C2" w:rsidRDefault="005C54C2">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11532" w:rsidRPr="006C2117" w14:paraId="7ECD90F8" w14:textId="77777777" w:rsidTr="37219A10">
        <w:trPr>
          <w:trHeight w:val="207"/>
        </w:trPr>
        <w:tc>
          <w:tcPr>
            <w:tcW w:w="4819" w:type="dxa"/>
            <w:tcBorders>
              <w:bottom w:val="single" w:sz="4" w:space="0" w:color="auto"/>
            </w:tcBorders>
            <w:tcMar>
              <w:left w:w="0" w:type="dxa"/>
            </w:tcMar>
          </w:tcPr>
          <w:p w14:paraId="3C66F2BA" w14:textId="77777777" w:rsidR="00C11532" w:rsidRPr="006C2117" w:rsidRDefault="00C11532" w:rsidP="00EF0F50">
            <w:pPr>
              <w:pStyle w:val="Naslov310"/>
              <w:jc w:val="left"/>
            </w:pPr>
            <w:r>
              <w:lastRenderedPageBreak/>
              <w:t>Trade in goods, May 2022</w:t>
            </w:r>
          </w:p>
        </w:tc>
        <w:tc>
          <w:tcPr>
            <w:tcW w:w="4820" w:type="dxa"/>
            <w:gridSpan w:val="2"/>
            <w:tcBorders>
              <w:bottom w:val="single" w:sz="4" w:space="0" w:color="auto"/>
            </w:tcBorders>
          </w:tcPr>
          <w:p w14:paraId="547A9C5D" w14:textId="77777777" w:rsidR="00C11532" w:rsidRPr="006C2117" w:rsidRDefault="00C11532" w:rsidP="00EF0F50">
            <w:pPr>
              <w:pStyle w:val="Naslov310"/>
            </w:pPr>
          </w:p>
        </w:tc>
      </w:tr>
      <w:tr w:rsidR="00F87D6A" w:rsidRPr="00DF4F0B" w14:paraId="7AC6C19A" w14:textId="77777777" w:rsidTr="37219A10">
        <w:trPr>
          <w:trHeight w:val="1134"/>
        </w:trPr>
        <w:tc>
          <w:tcPr>
            <w:tcW w:w="4982" w:type="dxa"/>
            <w:gridSpan w:val="2"/>
            <w:tcBorders>
              <w:top w:val="single" w:sz="4" w:space="0" w:color="auto"/>
            </w:tcBorders>
            <w:tcMar>
              <w:left w:w="0" w:type="dxa"/>
            </w:tcMar>
          </w:tcPr>
          <w:p w14:paraId="2F3F7D98" w14:textId="079593A4" w:rsidR="00F87D6A" w:rsidRDefault="00F87D6A" w:rsidP="00F87D6A">
            <w:pPr>
              <w:pStyle w:val="ListParagraph"/>
              <w:ind w:left="0"/>
            </w:pPr>
            <w:r>
              <w:rPr>
                <w:noProof/>
              </w:rPr>
              <w:drawing>
                <wp:inline distT="0" distB="0" distL="0" distR="0" wp14:anchorId="04C96CDA" wp14:editId="104DB6E6">
                  <wp:extent cx="3085200" cy="2577600"/>
                  <wp:effectExtent l="0" t="0" r="127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5200" cy="2577600"/>
                          </a:xfrm>
                          <a:prstGeom prst="rect">
                            <a:avLst/>
                          </a:prstGeom>
                          <a:noFill/>
                        </pic:spPr>
                      </pic:pic>
                    </a:graphicData>
                  </a:graphic>
                </wp:inline>
              </w:drawing>
            </w:r>
          </w:p>
        </w:tc>
        <w:tc>
          <w:tcPr>
            <w:tcW w:w="4657" w:type="dxa"/>
            <w:tcBorders>
              <w:top w:val="single" w:sz="4" w:space="0" w:color="auto"/>
            </w:tcBorders>
            <w:tcMar>
              <w:left w:w="284" w:type="dxa"/>
            </w:tcMar>
          </w:tcPr>
          <w:p w14:paraId="31C201AB" w14:textId="43F8450D" w:rsidR="00F87D6A" w:rsidRPr="00DF4F0B" w:rsidRDefault="00F87D6A" w:rsidP="00F87D6A">
            <w:r w:rsidRPr="37219A10">
              <w:rPr>
                <w:b/>
                <w:bCs/>
              </w:rPr>
              <w:t xml:space="preserve">Trade in goods with EU Member States increased slightly in May; uncertainty remains high. </w:t>
            </w:r>
            <w:r>
              <w:t>Real exports and imports of goods from and to EU Member States (seasonally adjusted)</w:t>
            </w:r>
            <w:r>
              <w:rPr>
                <w:rStyle w:val="FootnoteReference"/>
              </w:rPr>
              <w:footnoteReference w:id="3"/>
            </w:r>
            <w:r>
              <w:t xml:space="preserve"> rose slightly in May and were significantly higher than a year ago. Compared to the same period in 2019 (</w:t>
            </w:r>
            <w:bookmarkStart w:id="2" w:name="_Int_R2t1pswd"/>
            <w:r>
              <w:t>i.e.</w:t>
            </w:r>
            <w:bookmarkEnd w:id="2"/>
            <w:r>
              <w:t xml:space="preserve"> before the epidemic), exports to EU Member States rose by 12.5% in real terms and imports by 4.4%. Trade with non-EU countries also increased compared to the same periods last year and before the epidemic, but fluctuates significantly from month to month due to operations involving processing,</w:t>
            </w:r>
            <w:r>
              <w:rPr>
                <w:rStyle w:val="FootnoteReference"/>
              </w:rPr>
              <w:footnoteReference w:id="4"/>
            </w:r>
            <w:r>
              <w:t xml:space="preserve"> which account for more than half of trade with these countries. Uncertainty in the international environment (war in Ukraine, rising inflation, supply chain disruptions) has also had a visible impact on sentiment in export-oriented activities in recent months, as export orders continued to decline in June, while export expectations show stronger monthly fluctuations.</w:t>
            </w:r>
          </w:p>
        </w:tc>
      </w:tr>
    </w:tbl>
    <w:p w14:paraId="35FE31E6" w14:textId="77777777" w:rsidR="00C11532" w:rsidRDefault="00C11532" w:rsidP="00C11532">
      <w:pPr>
        <w:tabs>
          <w:tab w:val="left" w:pos="580"/>
        </w:tabs>
      </w:pPr>
    </w:p>
    <w:p w14:paraId="73CD0F41" w14:textId="77777777" w:rsidR="00C11532" w:rsidRDefault="00C11532" w:rsidP="00C11532">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11532" w:rsidRPr="006C2117" w14:paraId="07F5729E" w14:textId="77777777" w:rsidTr="24A3BEC6">
        <w:trPr>
          <w:trHeight w:val="207"/>
        </w:trPr>
        <w:tc>
          <w:tcPr>
            <w:tcW w:w="4819" w:type="dxa"/>
            <w:tcBorders>
              <w:bottom w:val="single" w:sz="4" w:space="0" w:color="auto"/>
            </w:tcBorders>
            <w:tcMar>
              <w:left w:w="0" w:type="dxa"/>
            </w:tcMar>
          </w:tcPr>
          <w:p w14:paraId="1CCF347D" w14:textId="7C4838C1" w:rsidR="00C11532" w:rsidRPr="006C2117" w:rsidRDefault="00C11532" w:rsidP="00EF0F50">
            <w:pPr>
              <w:pStyle w:val="Naslov310"/>
              <w:jc w:val="left"/>
            </w:pPr>
            <w:r>
              <w:t xml:space="preserve">Electricity consumption, June 2022 </w:t>
            </w:r>
          </w:p>
        </w:tc>
        <w:tc>
          <w:tcPr>
            <w:tcW w:w="4820" w:type="dxa"/>
            <w:gridSpan w:val="2"/>
            <w:tcBorders>
              <w:bottom w:val="single" w:sz="4" w:space="0" w:color="auto"/>
            </w:tcBorders>
          </w:tcPr>
          <w:p w14:paraId="541D6D42" w14:textId="77777777" w:rsidR="00C11532" w:rsidRPr="006C2117" w:rsidRDefault="00C11532" w:rsidP="00EF0F50">
            <w:pPr>
              <w:pStyle w:val="Naslov310"/>
            </w:pPr>
          </w:p>
        </w:tc>
      </w:tr>
      <w:tr w:rsidR="00C11532" w:rsidRPr="00DF4F0B" w14:paraId="4B466439" w14:textId="77777777" w:rsidTr="24A3BEC6">
        <w:trPr>
          <w:trHeight w:val="1134"/>
        </w:trPr>
        <w:tc>
          <w:tcPr>
            <w:tcW w:w="4982" w:type="dxa"/>
            <w:gridSpan w:val="2"/>
            <w:tcBorders>
              <w:top w:val="single" w:sz="4" w:space="0" w:color="auto"/>
            </w:tcBorders>
            <w:tcMar>
              <w:left w:w="0" w:type="dxa"/>
            </w:tcMar>
          </w:tcPr>
          <w:p w14:paraId="6E3AD19D" w14:textId="10FDA266" w:rsidR="00C11532" w:rsidRDefault="00675322" w:rsidP="00EF0F50">
            <w:pPr>
              <w:pStyle w:val="ListParagraph"/>
              <w:ind w:left="0"/>
            </w:pPr>
            <w:r>
              <w:rPr>
                <w:noProof/>
              </w:rPr>
              <w:drawing>
                <wp:inline distT="0" distB="0" distL="0" distR="0" wp14:anchorId="57008147" wp14:editId="6D4BE5E3">
                  <wp:extent cx="3049200" cy="25020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200" cy="2502000"/>
                          </a:xfrm>
                          <a:prstGeom prst="rect">
                            <a:avLst/>
                          </a:prstGeom>
                          <a:noFill/>
                        </pic:spPr>
                      </pic:pic>
                    </a:graphicData>
                  </a:graphic>
                </wp:inline>
              </w:drawing>
            </w:r>
          </w:p>
        </w:tc>
        <w:tc>
          <w:tcPr>
            <w:tcW w:w="4657" w:type="dxa"/>
            <w:tcBorders>
              <w:top w:val="single" w:sz="4" w:space="0" w:color="auto"/>
            </w:tcBorders>
            <w:tcMar>
              <w:left w:w="284" w:type="dxa"/>
            </w:tcMar>
          </w:tcPr>
          <w:p w14:paraId="61887968" w14:textId="55F0CA33" w:rsidR="00C11532" w:rsidRPr="002B18B2" w:rsidRDefault="00C11532" w:rsidP="00EF0F50">
            <w:pPr>
              <w:tabs>
                <w:tab w:val="left" w:pos="580"/>
              </w:tabs>
            </w:pPr>
            <w:r w:rsidRPr="24A3BEC6">
              <w:rPr>
                <w:b/>
                <w:bCs/>
              </w:rPr>
              <w:t xml:space="preserve">In June, electricity consumption fell by 3% year-on-year – the same figure as in May. </w:t>
            </w:r>
            <w:r>
              <w:t xml:space="preserve">According to our estimates, part of the decline was due to lower household consumption compared to the same period last year, while the rest may be due to supply chain problems and material shortages, as well as the energy crisis and related production adjustments, especially in some energy-intensive companies. Among Slovenia’s main trading partners, higher consumption compared to June 2021 was recorded by Austria, Germany and Italy (-6%, -3% and -2 % respectively). In France, consumption remained unchanged year-on-year, while in Croatia it increased significantly (+6%), which we associate with favourable trends in tourism due to the relaxation of COVID-19 restrictions. </w:t>
            </w:r>
          </w:p>
          <w:p w14:paraId="4BA670E8" w14:textId="77777777" w:rsidR="00C11532" w:rsidRPr="00DF4F0B" w:rsidRDefault="00C11532" w:rsidP="00EF0F50"/>
        </w:tc>
      </w:tr>
    </w:tbl>
    <w:p w14:paraId="667FC6C8" w14:textId="77777777" w:rsidR="00C11532" w:rsidRDefault="00C11532" w:rsidP="00C11532">
      <w:pPr>
        <w:tabs>
          <w:tab w:val="left" w:pos="580"/>
        </w:tabs>
      </w:pPr>
    </w:p>
    <w:p w14:paraId="1F9AE523" w14:textId="77777777" w:rsidR="00F25ADC" w:rsidRDefault="00F25ADC" w:rsidP="006D04BC"/>
    <w:p w14:paraId="145536D3" w14:textId="77777777" w:rsidR="00F25ADC" w:rsidRDefault="00F25ADC" w:rsidP="006D04BC"/>
    <w:p w14:paraId="2424FE97" w14:textId="77777777" w:rsidR="00F25ADC" w:rsidRDefault="00F25ADC" w:rsidP="006D04BC"/>
    <w:p w14:paraId="3A47BAB3" w14:textId="77777777" w:rsidR="003915F1" w:rsidRDefault="003915F1" w:rsidP="006D04BC"/>
    <w:p w14:paraId="6CD248AE" w14:textId="77777777" w:rsidR="00F25ADC" w:rsidRDefault="00F25ADC" w:rsidP="006D04BC"/>
    <w:p w14:paraId="5A3B2B61" w14:textId="77777777" w:rsidR="00F25ADC" w:rsidRDefault="00F25ADC" w:rsidP="006D04BC"/>
    <w:p w14:paraId="2AFBFEEF" w14:textId="77777777" w:rsidR="00F25ADC" w:rsidRDefault="00F25ADC" w:rsidP="006D04BC"/>
    <w:p w14:paraId="206FD05F" w14:textId="77777777" w:rsidR="00F25ADC" w:rsidRDefault="00F25ADC" w:rsidP="006D04BC"/>
    <w:p w14:paraId="7C99932A" w14:textId="77777777" w:rsidR="00F25ADC" w:rsidRDefault="00F25ADC" w:rsidP="006D04BC">
      <w:pPr>
        <w:sectPr w:rsidR="00F25ADC" w:rsidSect="006D04BC">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AAFBD7A" w14:textId="2B183F2A" w:rsidR="006D04BC" w:rsidRDefault="00A61C3D" w:rsidP="006D04BC">
      <w:r>
        <w:rPr>
          <w:noProof/>
        </w:rPr>
        <w:lastRenderedPageBreak/>
        <w:drawing>
          <wp:inline distT="0" distB="0" distL="0" distR="0" wp14:anchorId="6EB22603" wp14:editId="32FF88A9">
            <wp:extent cx="6120130" cy="839109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391095"/>
                    </a:xfrm>
                    <a:prstGeom prst="rect">
                      <a:avLst/>
                    </a:prstGeom>
                    <a:noFill/>
                    <a:ln>
                      <a:noFill/>
                    </a:ln>
                  </pic:spPr>
                </pic:pic>
              </a:graphicData>
            </a:graphic>
          </wp:inline>
        </w:drawing>
      </w:r>
    </w:p>
    <w:p w14:paraId="3304B7AE" w14:textId="77777777" w:rsidR="00784980" w:rsidRPr="00887D7E" w:rsidRDefault="00784980" w:rsidP="001F51CD">
      <w:pPr>
        <w:tabs>
          <w:tab w:val="left" w:pos="580"/>
        </w:tabs>
      </w:pPr>
    </w:p>
    <w:sectPr w:rsidR="00784980" w:rsidRPr="00887D7E"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89960" w14:textId="77777777" w:rsidR="00A16A96" w:rsidRDefault="00A16A96" w:rsidP="0063497B">
      <w:pPr>
        <w:spacing w:line="240" w:lineRule="auto"/>
      </w:pPr>
      <w:r>
        <w:separator/>
      </w:r>
    </w:p>
  </w:endnote>
  <w:endnote w:type="continuationSeparator" w:id="0">
    <w:p w14:paraId="1C5C94CC" w14:textId="77777777" w:rsidR="00A16A96" w:rsidRDefault="00A16A96"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4EA6"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yperlink"/>
          <w:sz w:val="18"/>
        </w:rPr>
        <w:t>polona.osrajnik@gov.si</w:t>
      </w:r>
    </w:hyperlink>
    <w:r>
      <w:rPr>
        <w:sz w:val="18"/>
      </w:rPr>
      <w:tab/>
      <w:t xml:space="preserve"> </w:t>
    </w:r>
    <w:sdt>
      <w:sdtPr>
        <w:rPr>
          <w:sz w:val="18"/>
          <w:szCs w:val="18"/>
        </w:rPr>
        <w:id w:val="1171908494"/>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2A55A"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yperlink"/>
          <w:sz w:val="18"/>
        </w:rPr>
        <w:t>polona.osrajnik@gov.si</w:t>
      </w:r>
    </w:hyperlink>
    <w:r>
      <w:rPr>
        <w:sz w:val="18"/>
      </w:rPr>
      <w:tab/>
      <w:t xml:space="preserve"> </w:t>
    </w:r>
    <w:sdt>
      <w:sdtPr>
        <w:rPr>
          <w:sz w:val="18"/>
          <w:szCs w:val="18"/>
        </w:rPr>
        <w:id w:val="-1431273947"/>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Pr="00363E63">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33D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5248"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2EAB"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D363342" w14:textId="77777777" w:rsidR="001327BA" w:rsidRDefault="001327BA" w:rsidP="001327BA">
    <w:pPr>
      <w:pStyle w:val="Naslov31"/>
      <w:tabs>
        <w:tab w:val="left" w:pos="7980"/>
        <w:tab w:val="right" w:pos="9638"/>
      </w:tabs>
      <w:spacing w:line="240" w:lineRule="auto"/>
      <w:jc w:val="left"/>
      <w:rPr>
        <w:sz w:val="18"/>
        <w:szCs w:val="18"/>
      </w:rPr>
    </w:pPr>
  </w:p>
  <w:p w14:paraId="13593C5A"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1176D" w14:textId="77777777" w:rsidR="00A16A96" w:rsidRDefault="00A16A96" w:rsidP="0063497B">
      <w:pPr>
        <w:spacing w:line="240" w:lineRule="auto"/>
      </w:pPr>
      <w:r>
        <w:separator/>
      </w:r>
    </w:p>
  </w:footnote>
  <w:footnote w:type="continuationSeparator" w:id="0">
    <w:p w14:paraId="237EA05F" w14:textId="77777777" w:rsidR="00A16A96" w:rsidRDefault="00A16A96" w:rsidP="0063497B">
      <w:pPr>
        <w:spacing w:line="240" w:lineRule="auto"/>
      </w:pPr>
      <w:r>
        <w:continuationSeparator/>
      </w:r>
    </w:p>
  </w:footnote>
  <w:footnote w:id="1">
    <w:p w14:paraId="072688E8" w14:textId="18B578BF" w:rsidR="00623BFC" w:rsidRDefault="00623BFC" w:rsidP="00623BFC">
      <w:pPr>
        <w:pStyle w:val="FootnoteText"/>
      </w:pPr>
      <w:r>
        <w:rPr>
          <w:rStyle w:val="FootnoteReference"/>
        </w:rPr>
        <w:footnoteRef/>
      </w:r>
      <w:r>
        <w:t xml:space="preserve"> According to ESS data, the level of unemployment </w:t>
      </w:r>
      <w:r w:rsidR="00AE68BC">
        <w:t>wa</w:t>
      </w:r>
      <w:r>
        <w:t xml:space="preserve">s the lowest since 1990. </w:t>
      </w:r>
    </w:p>
  </w:footnote>
  <w:footnote w:id="2">
    <w:p w14:paraId="6C5EE693" w14:textId="77777777" w:rsidR="00623BFC" w:rsidRDefault="00623BFC" w:rsidP="00623BFC">
      <w:pPr>
        <w:pStyle w:val="FootnoteText"/>
      </w:pPr>
      <w:r>
        <w:rPr>
          <w:rStyle w:val="FootnoteReference"/>
        </w:rPr>
        <w:footnoteRef/>
      </w:r>
      <w:r>
        <w:t xml:space="preserve"> Persons unemployed for 12 months or longer.</w:t>
      </w:r>
    </w:p>
  </w:footnote>
  <w:footnote w:id="3">
    <w:p w14:paraId="267DE98D" w14:textId="77777777" w:rsidR="00F87D6A" w:rsidRDefault="00F87D6A" w:rsidP="001A27E0">
      <w:pPr>
        <w:pStyle w:val="FootnoteText"/>
      </w:pPr>
      <w:r>
        <w:rPr>
          <w:rStyle w:val="FootnoteReference"/>
        </w:rPr>
        <w:footnoteRef/>
      </w:r>
      <w:r>
        <w:t xml:space="preserve"> External trade statistics by SURS, calculations and seasonal adjustment by IMAD. </w:t>
      </w:r>
    </w:p>
  </w:footnote>
  <w:footnote w:id="4">
    <w:p w14:paraId="47759A4B" w14:textId="751F08AD" w:rsidR="00F87D6A" w:rsidRDefault="00F87D6A" w:rsidP="001A27E0">
      <w:pPr>
        <w:pStyle w:val="FootnoteText"/>
      </w:pPr>
      <w:r>
        <w:rPr>
          <w:rStyle w:val="FootnoteReference"/>
        </w:rPr>
        <w:footnoteRef/>
      </w:r>
      <w:r>
        <w:t xml:space="preserve"> Operations involving processing include modification, making, composition, improvement and renovation with the aim to produce new or significantly improved products. Most of these operations are related to the distribution of pharmaceutical products </w:t>
      </w:r>
      <w:r w:rsidR="00ED3D87">
        <w:t>to</w:t>
      </w:r>
      <w:r>
        <w:t xml:space="preserve"> Switzerland.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8837" w14:textId="56B99E94" w:rsidR="006D5A1D" w:rsidRDefault="00556C8A" w:rsidP="00286464">
    <w:pPr>
      <w:jc w:val="right"/>
    </w:pPr>
    <w:r>
      <w:rPr>
        <w:noProof/>
      </w:rPr>
      <w:drawing>
        <wp:anchor distT="0" distB="0" distL="114300" distR="114300" simplePos="0" relativeHeight="251659264" behindDoc="0" locked="0" layoutInCell="1" allowOverlap="1" wp14:anchorId="044274C6" wp14:editId="048683A2">
          <wp:simplePos x="0" y="0"/>
          <wp:positionH relativeFrom="column">
            <wp:posOffset>0</wp:posOffset>
          </wp:positionH>
          <wp:positionV relativeFrom="paragraph">
            <wp:posOffset>156210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11 July 2022</w:t>
    </w:r>
  </w:p>
  <w:p w14:paraId="5B9682E4" w14:textId="77777777" w:rsidR="006D5A1D" w:rsidRDefault="006D5A1D" w:rsidP="00FE7254">
    <w:pPr>
      <w:jc w:val="right"/>
    </w:pPr>
  </w:p>
  <w:p w14:paraId="382847A9" w14:textId="77777777" w:rsidR="006D5A1D" w:rsidRDefault="006D5A1D" w:rsidP="00FE7254">
    <w:pPr>
      <w:jc w:val="right"/>
    </w:pPr>
  </w:p>
  <w:p w14:paraId="7C51E845" w14:textId="77777777" w:rsidR="006D5A1D" w:rsidRDefault="006D5A1D"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4CC7" w14:textId="77777777" w:rsidR="005C546C" w:rsidRPr="00FA7476" w:rsidRDefault="005C546C" w:rsidP="00FA74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93DC" w14:textId="77777777" w:rsidR="001A31EE" w:rsidRPr="007778A3" w:rsidRDefault="007778A3">
    <w:pPr>
      <w:pStyle w:val="Header"/>
      <w:rPr>
        <w:b/>
        <w:bCs/>
      </w:rPr>
    </w:pPr>
    <w:r>
      <w:rPr>
        <w:b/>
      </w:rPr>
      <w:t>Table: Selected macroeconomic indicators for Slovenia</w:t>
    </w:r>
  </w:p>
</w:hdr>
</file>

<file path=word/intelligence2.xml><?xml version="1.0" encoding="utf-8"?>
<int2:intelligence xmlns:int2="http://schemas.microsoft.com/office/intelligence/2020/intelligence">
  <int2:observations>
    <int2:bookmark int2:bookmarkName="_Int_R2t1pswd" int2:invalidationBookmarkName="" int2:hashCode="LDoO9u9DFubl0c" int2:id="2LbnoiqT">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65805"/>
    <w:rsid w:val="00070B6E"/>
    <w:rsid w:val="00077F13"/>
    <w:rsid w:val="000A5A42"/>
    <w:rsid w:val="000A7BDC"/>
    <w:rsid w:val="000E172B"/>
    <w:rsid w:val="000F15D3"/>
    <w:rsid w:val="000F5749"/>
    <w:rsid w:val="00106F74"/>
    <w:rsid w:val="00115E8D"/>
    <w:rsid w:val="00123D52"/>
    <w:rsid w:val="00125926"/>
    <w:rsid w:val="001327BA"/>
    <w:rsid w:val="00133E20"/>
    <w:rsid w:val="0015316F"/>
    <w:rsid w:val="00160FEE"/>
    <w:rsid w:val="0016141B"/>
    <w:rsid w:val="00166A48"/>
    <w:rsid w:val="00187077"/>
    <w:rsid w:val="0019138D"/>
    <w:rsid w:val="001A0C98"/>
    <w:rsid w:val="001A2CB5"/>
    <w:rsid w:val="001A31EE"/>
    <w:rsid w:val="001B6AE7"/>
    <w:rsid w:val="001B705A"/>
    <w:rsid w:val="001C0587"/>
    <w:rsid w:val="001C138F"/>
    <w:rsid w:val="001C3A33"/>
    <w:rsid w:val="001C5839"/>
    <w:rsid w:val="001D6793"/>
    <w:rsid w:val="001F43F0"/>
    <w:rsid w:val="001F51CD"/>
    <w:rsid w:val="002007A0"/>
    <w:rsid w:val="0021464C"/>
    <w:rsid w:val="00216373"/>
    <w:rsid w:val="00230716"/>
    <w:rsid w:val="00234F14"/>
    <w:rsid w:val="00237023"/>
    <w:rsid w:val="00243593"/>
    <w:rsid w:val="0026509A"/>
    <w:rsid w:val="0026694E"/>
    <w:rsid w:val="002B376F"/>
    <w:rsid w:val="002B4319"/>
    <w:rsid w:val="002B4C3A"/>
    <w:rsid w:val="002B5071"/>
    <w:rsid w:val="002B5361"/>
    <w:rsid w:val="002D46EF"/>
    <w:rsid w:val="002E69B6"/>
    <w:rsid w:val="00306767"/>
    <w:rsid w:val="00312702"/>
    <w:rsid w:val="00312D09"/>
    <w:rsid w:val="0032367A"/>
    <w:rsid w:val="0037086A"/>
    <w:rsid w:val="00373826"/>
    <w:rsid w:val="0038431B"/>
    <w:rsid w:val="00384AB6"/>
    <w:rsid w:val="003879FF"/>
    <w:rsid w:val="003915F1"/>
    <w:rsid w:val="003C614E"/>
    <w:rsid w:val="00431EDD"/>
    <w:rsid w:val="00432945"/>
    <w:rsid w:val="004361A1"/>
    <w:rsid w:val="004368FB"/>
    <w:rsid w:val="00445530"/>
    <w:rsid w:val="00452589"/>
    <w:rsid w:val="00452804"/>
    <w:rsid w:val="00464D01"/>
    <w:rsid w:val="00476809"/>
    <w:rsid w:val="00477274"/>
    <w:rsid w:val="00481FA7"/>
    <w:rsid w:val="004874AC"/>
    <w:rsid w:val="004970E5"/>
    <w:rsid w:val="004F442C"/>
    <w:rsid w:val="00520EEA"/>
    <w:rsid w:val="00526AB6"/>
    <w:rsid w:val="005307A4"/>
    <w:rsid w:val="00534457"/>
    <w:rsid w:val="005429ED"/>
    <w:rsid w:val="00546DBF"/>
    <w:rsid w:val="00556C8A"/>
    <w:rsid w:val="005608AD"/>
    <w:rsid w:val="005964A5"/>
    <w:rsid w:val="005A2CA9"/>
    <w:rsid w:val="005C546C"/>
    <w:rsid w:val="005C54C2"/>
    <w:rsid w:val="006149D8"/>
    <w:rsid w:val="00623BFC"/>
    <w:rsid w:val="006269CE"/>
    <w:rsid w:val="0063497B"/>
    <w:rsid w:val="0065006B"/>
    <w:rsid w:val="00650921"/>
    <w:rsid w:val="0065293C"/>
    <w:rsid w:val="00671853"/>
    <w:rsid w:val="006732C5"/>
    <w:rsid w:val="00675322"/>
    <w:rsid w:val="006802ED"/>
    <w:rsid w:val="006875F1"/>
    <w:rsid w:val="006965FC"/>
    <w:rsid w:val="006A6820"/>
    <w:rsid w:val="006A7EF4"/>
    <w:rsid w:val="006C2117"/>
    <w:rsid w:val="006D0300"/>
    <w:rsid w:val="006D04BC"/>
    <w:rsid w:val="006D5A1D"/>
    <w:rsid w:val="006E1C81"/>
    <w:rsid w:val="007016EF"/>
    <w:rsid w:val="007323DE"/>
    <w:rsid w:val="00742952"/>
    <w:rsid w:val="0074452D"/>
    <w:rsid w:val="007534AE"/>
    <w:rsid w:val="007534F2"/>
    <w:rsid w:val="00763932"/>
    <w:rsid w:val="00772003"/>
    <w:rsid w:val="007778A3"/>
    <w:rsid w:val="00784980"/>
    <w:rsid w:val="0079410F"/>
    <w:rsid w:val="007A0B59"/>
    <w:rsid w:val="007A1ADF"/>
    <w:rsid w:val="007A34C5"/>
    <w:rsid w:val="007A4BC5"/>
    <w:rsid w:val="007A6084"/>
    <w:rsid w:val="007B3368"/>
    <w:rsid w:val="007B7110"/>
    <w:rsid w:val="007C719D"/>
    <w:rsid w:val="007D79D0"/>
    <w:rsid w:val="007F1307"/>
    <w:rsid w:val="007F63AD"/>
    <w:rsid w:val="00812D81"/>
    <w:rsid w:val="00813913"/>
    <w:rsid w:val="0083343D"/>
    <w:rsid w:val="00860582"/>
    <w:rsid w:val="00867723"/>
    <w:rsid w:val="00887D7E"/>
    <w:rsid w:val="008B2E5D"/>
    <w:rsid w:val="008B499E"/>
    <w:rsid w:val="008F18BB"/>
    <w:rsid w:val="009023FF"/>
    <w:rsid w:val="00910265"/>
    <w:rsid w:val="009259D1"/>
    <w:rsid w:val="0093604B"/>
    <w:rsid w:val="00940DB2"/>
    <w:rsid w:val="00946C4C"/>
    <w:rsid w:val="009539F3"/>
    <w:rsid w:val="009918B9"/>
    <w:rsid w:val="009A1E12"/>
    <w:rsid w:val="009A37E5"/>
    <w:rsid w:val="009D311B"/>
    <w:rsid w:val="009E0EA3"/>
    <w:rsid w:val="009F753B"/>
    <w:rsid w:val="00A023CF"/>
    <w:rsid w:val="00A038A3"/>
    <w:rsid w:val="00A072AA"/>
    <w:rsid w:val="00A107AD"/>
    <w:rsid w:val="00A16A96"/>
    <w:rsid w:val="00A2026E"/>
    <w:rsid w:val="00A25EF3"/>
    <w:rsid w:val="00A35FCE"/>
    <w:rsid w:val="00A42839"/>
    <w:rsid w:val="00A5647C"/>
    <w:rsid w:val="00A6126E"/>
    <w:rsid w:val="00A61C3D"/>
    <w:rsid w:val="00A670D2"/>
    <w:rsid w:val="00A7050D"/>
    <w:rsid w:val="00A8329F"/>
    <w:rsid w:val="00A842CE"/>
    <w:rsid w:val="00A9607E"/>
    <w:rsid w:val="00AA1F25"/>
    <w:rsid w:val="00AB0C65"/>
    <w:rsid w:val="00AC328B"/>
    <w:rsid w:val="00AC5D63"/>
    <w:rsid w:val="00AE68BC"/>
    <w:rsid w:val="00AF3058"/>
    <w:rsid w:val="00B00E5E"/>
    <w:rsid w:val="00B220A3"/>
    <w:rsid w:val="00B35E6C"/>
    <w:rsid w:val="00B37AC5"/>
    <w:rsid w:val="00B451B6"/>
    <w:rsid w:val="00B52F7E"/>
    <w:rsid w:val="00B55F54"/>
    <w:rsid w:val="00B577D3"/>
    <w:rsid w:val="00B6676A"/>
    <w:rsid w:val="00B738F6"/>
    <w:rsid w:val="00B75152"/>
    <w:rsid w:val="00B77238"/>
    <w:rsid w:val="00B823D3"/>
    <w:rsid w:val="00B8300F"/>
    <w:rsid w:val="00B913B5"/>
    <w:rsid w:val="00BA64DB"/>
    <w:rsid w:val="00BB76AF"/>
    <w:rsid w:val="00BD4DF4"/>
    <w:rsid w:val="00BF2574"/>
    <w:rsid w:val="00C11532"/>
    <w:rsid w:val="00C14A86"/>
    <w:rsid w:val="00C226E2"/>
    <w:rsid w:val="00C6130F"/>
    <w:rsid w:val="00C7347F"/>
    <w:rsid w:val="00C741AA"/>
    <w:rsid w:val="00CA3CFE"/>
    <w:rsid w:val="00CD10D3"/>
    <w:rsid w:val="00CD2B30"/>
    <w:rsid w:val="00CE13FA"/>
    <w:rsid w:val="00CF6407"/>
    <w:rsid w:val="00D0323E"/>
    <w:rsid w:val="00D10D15"/>
    <w:rsid w:val="00D1695B"/>
    <w:rsid w:val="00D312B6"/>
    <w:rsid w:val="00D336BB"/>
    <w:rsid w:val="00D53A43"/>
    <w:rsid w:val="00D54905"/>
    <w:rsid w:val="00D55827"/>
    <w:rsid w:val="00DB1C32"/>
    <w:rsid w:val="00DB79DE"/>
    <w:rsid w:val="00DD7D7B"/>
    <w:rsid w:val="00DE2EA9"/>
    <w:rsid w:val="00DE4ACB"/>
    <w:rsid w:val="00DE4DCF"/>
    <w:rsid w:val="00DE72F6"/>
    <w:rsid w:val="00DF3E04"/>
    <w:rsid w:val="00DF4F0B"/>
    <w:rsid w:val="00E0162D"/>
    <w:rsid w:val="00E01882"/>
    <w:rsid w:val="00E02749"/>
    <w:rsid w:val="00E17A92"/>
    <w:rsid w:val="00E276AF"/>
    <w:rsid w:val="00E501A0"/>
    <w:rsid w:val="00E5484D"/>
    <w:rsid w:val="00E56ECD"/>
    <w:rsid w:val="00E72E24"/>
    <w:rsid w:val="00E759DE"/>
    <w:rsid w:val="00E7791D"/>
    <w:rsid w:val="00E77ACA"/>
    <w:rsid w:val="00E83869"/>
    <w:rsid w:val="00EB0E82"/>
    <w:rsid w:val="00ED3D87"/>
    <w:rsid w:val="00ED6836"/>
    <w:rsid w:val="00EE2BE7"/>
    <w:rsid w:val="00EE7E6E"/>
    <w:rsid w:val="00F15AA5"/>
    <w:rsid w:val="00F221C4"/>
    <w:rsid w:val="00F25ADC"/>
    <w:rsid w:val="00F409C1"/>
    <w:rsid w:val="00F41E1A"/>
    <w:rsid w:val="00F43F6C"/>
    <w:rsid w:val="00F47B15"/>
    <w:rsid w:val="00F505FF"/>
    <w:rsid w:val="00F545EF"/>
    <w:rsid w:val="00F6408C"/>
    <w:rsid w:val="00F65156"/>
    <w:rsid w:val="00F66E1B"/>
    <w:rsid w:val="00F87D6A"/>
    <w:rsid w:val="00F930F6"/>
    <w:rsid w:val="00FA45E3"/>
    <w:rsid w:val="00FA7476"/>
    <w:rsid w:val="00FB5533"/>
    <w:rsid w:val="00FC2DC2"/>
    <w:rsid w:val="00FC4114"/>
    <w:rsid w:val="00FD19D9"/>
    <w:rsid w:val="00FE0C40"/>
    <w:rsid w:val="00FE12B1"/>
    <w:rsid w:val="00FF7E5B"/>
    <w:rsid w:val="0B597675"/>
    <w:rsid w:val="24A3BEC6"/>
    <w:rsid w:val="29186E07"/>
    <w:rsid w:val="37219A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6F4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0"/>
    <w:basedOn w:val="Normal"/>
    <w:qFormat/>
    <w:rsid w:val="00D55827"/>
    <w:rPr>
      <w:b/>
    </w:rPr>
  </w:style>
  <w:style w:type="paragraph" w:styleId="Revision">
    <w:name w:val="Revision"/>
    <w:hidden/>
    <w:uiPriority w:val="99"/>
    <w:semiHidden/>
    <w:rsid w:val="002B5071"/>
    <w:pPr>
      <w:spacing w:after="0" w:line="240" w:lineRule="auto"/>
    </w:pPr>
    <w:rPr>
      <w:rFonts w:ascii="Myriad Pro" w:hAnsi="Myriad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588153">
      <w:bodyDiv w:val="1"/>
      <w:marLeft w:val="0"/>
      <w:marRight w:val="0"/>
      <w:marTop w:val="0"/>
      <w:marBottom w:val="0"/>
      <w:divBdr>
        <w:top w:val="none" w:sz="0" w:space="0" w:color="auto"/>
        <w:left w:val="none" w:sz="0" w:space="0" w:color="auto"/>
        <w:bottom w:val="none" w:sz="0" w:space="0" w:color="auto"/>
        <w:right w:val="none" w:sz="0" w:space="0" w:color="auto"/>
      </w:divBdr>
      <w:divsChild>
        <w:div w:id="467091460">
          <w:marLeft w:val="0"/>
          <w:marRight w:val="0"/>
          <w:marTop w:val="0"/>
          <w:marBottom w:val="0"/>
          <w:divBdr>
            <w:top w:val="none" w:sz="0" w:space="0" w:color="auto"/>
            <w:left w:val="none" w:sz="0" w:space="0" w:color="auto"/>
            <w:bottom w:val="none" w:sz="0" w:space="0" w:color="auto"/>
            <w:right w:val="none" w:sz="0" w:space="0" w:color="auto"/>
          </w:divBdr>
        </w:div>
        <w:div w:id="6156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43fb695d30ea407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86680-2611-4FD4-BE9B-0EC3F6074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2022-07-11T11:52:00Z</dcterms:created>
  <dcterms:modified xsi:type="dcterms:W3CDTF">2022-07-11T11:52:00Z</dcterms:modified>
</cp:coreProperties>
</file>