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6F403" w14:textId="77777777" w:rsidR="0026694E" w:rsidRPr="0026694E" w:rsidRDefault="0026694E" w:rsidP="0026694E">
      <w:pPr>
        <w:pStyle w:val="Naslov11"/>
      </w:pPr>
      <w:bookmarkStart w:id="0" w:name="_GoBack"/>
      <w:bookmarkEnd w:id="0"/>
      <w:r>
        <w:t>CURRENT ECONOMIC TRENDS</w:t>
      </w:r>
    </w:p>
    <w:p w14:paraId="29DBD92E" w14:textId="77777777" w:rsidR="0026694E" w:rsidRPr="00B913B5" w:rsidRDefault="006D5A1D" w:rsidP="0026694E">
      <w:pPr>
        <w:rPr>
          <w:sz w:val="32"/>
          <w:szCs w:val="36"/>
        </w:rPr>
      </w:pPr>
      <w:r>
        <w:rPr>
          <w:sz w:val="32"/>
        </w:rPr>
        <w:t>20–24 June 2022</w:t>
      </w:r>
    </w:p>
    <w:p w14:paraId="72277520" w14:textId="77777777" w:rsidR="00DF4F0B" w:rsidRDefault="00DF4F0B"/>
    <w:p w14:paraId="6EC54E66" w14:textId="77777777" w:rsidR="006D5A1D" w:rsidRPr="00A277D8" w:rsidRDefault="006D5A1D" w:rsidP="006D5A1D">
      <w:pPr>
        <w:tabs>
          <w:tab w:val="left" w:pos="580"/>
        </w:tabs>
      </w:pPr>
      <w:bookmarkStart w:id="1" w:name="_Hlk54096721"/>
      <w:r>
        <w:t xml:space="preserve">Year-on-year growth of Slovenian industrial producer prices continued to strengthen in May. Prices increased in all industrial groups, most strongly in the domestic market. This was impacted by geopolitical tensions, the tight situation in the market for energy and non-energy commodities and supply chain bottlenecks. According to our estimate, these factors are also the main reason for the deterioration in the economic sentiment indicator, which deteriorated further in June and was also lower year-on-year, but still above the long-term average. Prices of dwellings, especially of existing dwellings, have also risen significantly as the supply of newly built dwellings and thus the number of transactions have been severely limited. In April, year-on-year growth of the average gross wage increased in the private sector. Growth remained strong in activities affected by labour shortages (accommodation and food service activities, trade, and transportation and storage). In the public sector, average gross wage remains lower year-on-year due to the cessation of COVID-19 allowances. </w:t>
      </w:r>
      <w:bookmarkEnd w:id="1"/>
      <w:r>
        <w:t>In real terms, the average wage was lower both in the public and private sector.</w:t>
      </w:r>
    </w:p>
    <w:p w14:paraId="225D8FF9" w14:textId="77777777" w:rsidR="006D5A1D" w:rsidRDefault="006D5A1D" w:rsidP="006D5A1D">
      <w:pPr>
        <w:tabs>
          <w:tab w:val="left" w:pos="580"/>
        </w:tabs>
      </w:pPr>
    </w:p>
    <w:p w14:paraId="7A69131A" w14:textId="77777777" w:rsidR="006D5A1D" w:rsidRDefault="006D5A1D" w:rsidP="006D5A1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6D5A1D" w:rsidRPr="008A69E9" w14:paraId="4E3D5240" w14:textId="77777777" w:rsidTr="00866706">
        <w:trPr>
          <w:trHeight w:val="207"/>
        </w:trPr>
        <w:tc>
          <w:tcPr>
            <w:tcW w:w="6096" w:type="dxa"/>
            <w:gridSpan w:val="2"/>
            <w:tcBorders>
              <w:bottom w:val="single" w:sz="4" w:space="0" w:color="auto"/>
            </w:tcBorders>
            <w:tcMar>
              <w:left w:w="0" w:type="dxa"/>
            </w:tcMar>
          </w:tcPr>
          <w:p w14:paraId="2C0ECFDF" w14:textId="13395407" w:rsidR="006D5A1D" w:rsidRPr="008A69E9" w:rsidRDefault="006D5A1D" w:rsidP="00866706">
            <w:pPr>
              <w:jc w:val="left"/>
              <w:rPr>
                <w:b/>
              </w:rPr>
            </w:pPr>
            <w:r>
              <w:rPr>
                <w:b/>
              </w:rPr>
              <w:t>Slovenian industrial producer prices, May 2022</w:t>
            </w:r>
          </w:p>
        </w:tc>
        <w:tc>
          <w:tcPr>
            <w:tcW w:w="3543" w:type="dxa"/>
            <w:tcBorders>
              <w:bottom w:val="single" w:sz="4" w:space="0" w:color="auto"/>
            </w:tcBorders>
          </w:tcPr>
          <w:p w14:paraId="4F496891" w14:textId="77777777" w:rsidR="006D5A1D" w:rsidRPr="008A69E9" w:rsidRDefault="006D5A1D" w:rsidP="00866706">
            <w:pPr>
              <w:rPr>
                <w:b/>
              </w:rPr>
            </w:pPr>
          </w:p>
        </w:tc>
      </w:tr>
      <w:tr w:rsidR="006D5A1D" w14:paraId="7A9C3E65" w14:textId="77777777" w:rsidTr="00866706">
        <w:trPr>
          <w:trHeight w:val="1134"/>
        </w:trPr>
        <w:tc>
          <w:tcPr>
            <w:tcW w:w="4982" w:type="dxa"/>
            <w:tcBorders>
              <w:top w:val="single" w:sz="4" w:space="0" w:color="auto"/>
            </w:tcBorders>
            <w:tcMar>
              <w:left w:w="0" w:type="dxa"/>
            </w:tcMar>
          </w:tcPr>
          <w:p w14:paraId="21893758" w14:textId="7B44BA4E" w:rsidR="006D5A1D" w:rsidRDefault="007F63AD" w:rsidP="00866706">
            <w:pPr>
              <w:pStyle w:val="Odstavekseznama"/>
              <w:ind w:left="0"/>
            </w:pPr>
            <w:r>
              <w:rPr>
                <w:noProof/>
              </w:rPr>
              <w:drawing>
                <wp:inline distT="0" distB="0" distL="0" distR="0" wp14:anchorId="5720ECD3" wp14:editId="16AC32A8">
                  <wp:extent cx="3092400" cy="2530800"/>
                  <wp:effectExtent l="0" t="0" r="0" b="317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281CF97F" w14:textId="152F2AE3" w:rsidR="006D5A1D" w:rsidRPr="00DF4F0B" w:rsidRDefault="006D5A1D" w:rsidP="00866706">
            <w:pPr>
              <w:rPr>
                <w:rFonts w:eastAsia="Myriad Pro" w:cs="Myriad Pro"/>
              </w:rPr>
            </w:pPr>
            <w:r>
              <w:rPr>
                <w:b/>
              </w:rPr>
              <w:t xml:space="preserve">Geopolitical tensions, tighter conditions in energy and non-energy commodity markets and supply chain bottlenecks continue to drive growth in Slovenian industrial producer prices, which already reached 22.5% in May. </w:t>
            </w:r>
            <w:r>
              <w:t xml:space="preserve">Price growth has increased in all industrial groups, especially </w:t>
            </w:r>
            <w:r w:rsidR="00160FEE">
              <w:t>i</w:t>
            </w:r>
            <w:r>
              <w:t xml:space="preserve">n the domestic market, where it reached 25.7% year-on-year (19.3% </w:t>
            </w:r>
            <w:r w:rsidR="00160FEE">
              <w:t>i</w:t>
            </w:r>
            <w:r>
              <w:t>n non-domestic market). Overall price growth continues to be driven mainly by prices of intermediate goods, which were 28.5% higher year-on-year. The strongest year-on-year increase was still recorded by energy prices, which rose by almost 75%, but due to their lower weight, their contribution to overall growth was smaller than that of intermediate goods. Compared to energy and intermediate goods, the increase in Slovenian industrial producer prices of capital goods and consumer goods (12.8% and 10.4%, respectively) was relatively small, but still well above the long-term average. Prices of durable consumer goods and non-durable goods were higher year-on-year (by 8.9% and 10.8%, respectively).</w:t>
            </w:r>
          </w:p>
        </w:tc>
      </w:tr>
    </w:tbl>
    <w:p w14:paraId="5712B0E9" w14:textId="77777777" w:rsidR="006D5A1D" w:rsidRDefault="006D5A1D" w:rsidP="006D5A1D">
      <w:pPr>
        <w:tabs>
          <w:tab w:val="left" w:pos="580"/>
        </w:tabs>
      </w:pPr>
    </w:p>
    <w:p w14:paraId="0319BD2E" w14:textId="77777777" w:rsidR="00E77ACA" w:rsidRDefault="00E77ACA" w:rsidP="006D5A1D">
      <w:pPr>
        <w:tabs>
          <w:tab w:val="left" w:pos="580"/>
        </w:tabs>
        <w:sectPr w:rsidR="00E77ACA" w:rsidSect="006D5A1D">
          <w:footerReference w:type="default" r:id="rId9"/>
          <w:headerReference w:type="first" r:id="rId10"/>
          <w:footerReference w:type="first" r:id="rId11"/>
          <w:type w:val="continuous"/>
          <w:pgSz w:w="11906" w:h="16838"/>
          <w:pgMar w:top="1134" w:right="1134" w:bottom="1021" w:left="1134" w:header="709" w:footer="397" w:gutter="0"/>
          <w:cols w:space="708"/>
          <w:titlePg/>
          <w:docGrid w:linePitch="360"/>
        </w:sectPr>
      </w:pPr>
    </w:p>
    <w:p w14:paraId="0D7B3BB8" w14:textId="77777777" w:rsidR="005C54C2" w:rsidRDefault="005C54C2">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232"/>
        <w:gridCol w:w="425"/>
      </w:tblGrid>
      <w:tr w:rsidR="006D5A1D" w14:paraId="51C26962" w14:textId="77777777" w:rsidTr="00866706">
        <w:trPr>
          <w:trHeight w:val="207"/>
        </w:trPr>
        <w:tc>
          <w:tcPr>
            <w:tcW w:w="9214" w:type="dxa"/>
            <w:gridSpan w:val="2"/>
            <w:tcBorders>
              <w:bottom w:val="single" w:sz="4" w:space="0" w:color="auto"/>
            </w:tcBorders>
            <w:tcMar>
              <w:left w:w="0" w:type="dxa"/>
            </w:tcMar>
          </w:tcPr>
          <w:p w14:paraId="4BAEC98D" w14:textId="77777777" w:rsidR="005C54C2" w:rsidRDefault="005C54C2" w:rsidP="00866706">
            <w:pPr>
              <w:pStyle w:val="Naslov310"/>
              <w:jc w:val="left"/>
            </w:pPr>
          </w:p>
          <w:p w14:paraId="0B77108D" w14:textId="77777777" w:rsidR="006D5A1D" w:rsidRPr="007A0B59" w:rsidRDefault="006D5A1D" w:rsidP="00866706">
            <w:pPr>
              <w:pStyle w:val="Naslov310"/>
              <w:jc w:val="left"/>
            </w:pPr>
            <w:r>
              <w:t xml:space="preserve">Economic sentiment, June 2022 </w:t>
            </w:r>
          </w:p>
        </w:tc>
        <w:tc>
          <w:tcPr>
            <w:tcW w:w="425" w:type="dxa"/>
            <w:tcBorders>
              <w:bottom w:val="single" w:sz="4" w:space="0" w:color="auto"/>
            </w:tcBorders>
          </w:tcPr>
          <w:p w14:paraId="71C29B08" w14:textId="77777777" w:rsidR="006D5A1D" w:rsidRPr="007A0B59" w:rsidRDefault="006D5A1D" w:rsidP="00866706">
            <w:pPr>
              <w:pStyle w:val="Naslov310"/>
            </w:pPr>
          </w:p>
        </w:tc>
      </w:tr>
      <w:tr w:rsidR="006D5A1D" w14:paraId="0BF07BFF" w14:textId="77777777" w:rsidTr="00866706">
        <w:trPr>
          <w:trHeight w:val="1134"/>
        </w:trPr>
        <w:tc>
          <w:tcPr>
            <w:tcW w:w="4982" w:type="dxa"/>
            <w:tcBorders>
              <w:top w:val="single" w:sz="4" w:space="0" w:color="auto"/>
            </w:tcBorders>
            <w:tcMar>
              <w:left w:w="0" w:type="dxa"/>
            </w:tcMar>
          </w:tcPr>
          <w:p w14:paraId="2A51A899" w14:textId="77777777" w:rsidR="006D5A1D" w:rsidRDefault="00FD19D9" w:rsidP="00866706">
            <w:pPr>
              <w:pStyle w:val="Odstavekseznama"/>
              <w:ind w:left="0"/>
            </w:pPr>
            <w:r>
              <w:rPr>
                <w:noProof/>
              </w:rPr>
              <w:drawing>
                <wp:inline distT="0" distB="0" distL="0" distR="0" wp14:anchorId="1946C6AF" wp14:editId="4B40EE3B">
                  <wp:extent cx="3060000" cy="2610000"/>
                  <wp:effectExtent l="0" t="0" r="762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60000" cy="2610000"/>
                          </a:xfrm>
                          <a:prstGeom prst="rect">
                            <a:avLst/>
                          </a:prstGeom>
                          <a:noFill/>
                        </pic:spPr>
                      </pic:pic>
                    </a:graphicData>
                  </a:graphic>
                </wp:inline>
              </w:drawing>
            </w:r>
          </w:p>
          <w:p w14:paraId="19BDC0D0" w14:textId="77777777" w:rsidR="006D5A1D" w:rsidRDefault="006D5A1D" w:rsidP="00866706">
            <w:pPr>
              <w:pStyle w:val="Odstavekseznama"/>
              <w:ind w:left="0"/>
            </w:pPr>
          </w:p>
        </w:tc>
        <w:tc>
          <w:tcPr>
            <w:tcW w:w="4657" w:type="dxa"/>
            <w:gridSpan w:val="2"/>
            <w:tcBorders>
              <w:top w:val="single" w:sz="4" w:space="0" w:color="auto"/>
            </w:tcBorders>
            <w:tcMar>
              <w:left w:w="284" w:type="dxa"/>
            </w:tcMar>
          </w:tcPr>
          <w:p w14:paraId="1F9AAD21" w14:textId="77777777" w:rsidR="006D5A1D" w:rsidRPr="005824F8" w:rsidRDefault="006D5A1D" w:rsidP="00866706">
            <w:pPr>
              <w:rPr>
                <w:color w:val="DBDBDB" w:themeColor="background2"/>
              </w:rPr>
            </w:pPr>
            <w:r>
              <w:rPr>
                <w:b/>
              </w:rPr>
              <w:t>The value of the economic sentiment indicator deteriorated further in June and was also lower year-on-year, but still above the long-term average.</w:t>
            </w:r>
            <w:r>
              <w:t xml:space="preserve"> Compared to May, confidence was lower everywhere, especially in construction and retail trade, and compared to June last year, it was significantly lower among consumers and in manufacturing. It was higher year-on-year only in services. The value of the consumer confidence indicator remains below the long-term average, while it is the same as the average in manufacturing. Lower confidence among consumers is related to rising prices and the resulting deterioration in household purchasing power, while lower confidence in manufacturing is related to the current situation in the international environment (bottlenecks in the supply of raw materials, rising commodity and energy prices and the Russian-Ukrainian war). Indicators in construction as well as in trade and services remain well above the long-term average, which is related to this year’s revival of construction activity and the lifting of operating restrictions after the COVID-19 epidemic.</w:t>
            </w:r>
          </w:p>
        </w:tc>
      </w:tr>
    </w:tbl>
    <w:p w14:paraId="23D1912C" w14:textId="77777777" w:rsidR="006D5A1D" w:rsidRDefault="006D5A1D" w:rsidP="006D5A1D">
      <w:pPr>
        <w:tabs>
          <w:tab w:val="left" w:pos="580"/>
        </w:tabs>
      </w:pPr>
    </w:p>
    <w:p w14:paraId="39BB0CEB" w14:textId="77777777" w:rsidR="00FC2DC2" w:rsidRDefault="00FC2DC2" w:rsidP="006D5A1D">
      <w:pPr>
        <w:tabs>
          <w:tab w:val="left" w:pos="580"/>
        </w:tabs>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6D5A1D" w:rsidRPr="007A0B59" w14:paraId="5E93CD42" w14:textId="77777777" w:rsidTr="00866706">
        <w:trPr>
          <w:trHeight w:val="207"/>
        </w:trPr>
        <w:tc>
          <w:tcPr>
            <w:tcW w:w="4819" w:type="dxa"/>
            <w:tcBorders>
              <w:bottom w:val="single" w:sz="4" w:space="0" w:color="auto"/>
            </w:tcBorders>
            <w:tcMar>
              <w:left w:w="0" w:type="dxa"/>
            </w:tcMar>
          </w:tcPr>
          <w:p w14:paraId="57EB553B" w14:textId="778A4A89" w:rsidR="006D5A1D" w:rsidRPr="007A0B59" w:rsidRDefault="006D5A1D" w:rsidP="00866706">
            <w:pPr>
              <w:pStyle w:val="Naslov310"/>
              <w:jc w:val="left"/>
            </w:pPr>
            <w:r>
              <w:t>Real estate, Q1 2022</w:t>
            </w:r>
          </w:p>
        </w:tc>
        <w:tc>
          <w:tcPr>
            <w:tcW w:w="4820" w:type="dxa"/>
            <w:gridSpan w:val="2"/>
            <w:tcBorders>
              <w:bottom w:val="single" w:sz="4" w:space="0" w:color="auto"/>
            </w:tcBorders>
          </w:tcPr>
          <w:p w14:paraId="7A31ABAC" w14:textId="77777777" w:rsidR="006D5A1D" w:rsidRPr="007A0B59" w:rsidRDefault="006D5A1D" w:rsidP="00866706">
            <w:pPr>
              <w:pStyle w:val="Naslov310"/>
            </w:pPr>
          </w:p>
        </w:tc>
      </w:tr>
      <w:tr w:rsidR="006D5A1D" w:rsidRPr="00DF4F0B" w14:paraId="05AA7FD5" w14:textId="77777777" w:rsidTr="00866706">
        <w:trPr>
          <w:trHeight w:val="1134"/>
        </w:trPr>
        <w:tc>
          <w:tcPr>
            <w:tcW w:w="4982" w:type="dxa"/>
            <w:gridSpan w:val="2"/>
            <w:tcBorders>
              <w:top w:val="single" w:sz="4" w:space="0" w:color="auto"/>
            </w:tcBorders>
            <w:tcMar>
              <w:left w:w="0" w:type="dxa"/>
            </w:tcMar>
          </w:tcPr>
          <w:p w14:paraId="67364CD8" w14:textId="1474E313" w:rsidR="006D5A1D" w:rsidRDefault="005608AD" w:rsidP="00866706">
            <w:pPr>
              <w:pStyle w:val="Odstavekseznama"/>
              <w:ind w:left="0"/>
            </w:pPr>
            <w:r>
              <w:rPr>
                <w:noProof/>
              </w:rPr>
              <w:drawing>
                <wp:inline distT="0" distB="0" distL="0" distR="0" wp14:anchorId="4850D686" wp14:editId="633807A6">
                  <wp:extent cx="3092400" cy="2530800"/>
                  <wp:effectExtent l="0" t="0" r="0" b="317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92EDB94" w14:textId="77777777" w:rsidR="006D5A1D" w:rsidRPr="00DF4F0B" w:rsidRDefault="006D5A1D" w:rsidP="00866706">
            <w:pPr>
              <w:rPr>
                <w:rFonts w:eastAsia="Arial"/>
              </w:rPr>
            </w:pPr>
            <w:r>
              <w:rPr>
                <w:b/>
              </w:rPr>
              <w:t>Given the high number of transactions, the high growth of dwelling prices continued in Q1 2022.</w:t>
            </w:r>
            <w:r>
              <w:t xml:space="preserve"> After growing by 11.5% in 2021 as a whole, prices rose by 16.9% year-on-year. The high growth was driven by higher prices of existing dwellings (by 18.3%), while prices of newly built dwellings, which accounted for only 1% of all transactions due to limited supply, were 1.5% higher. The brisk trading in the real estate market was also reflected in the continued high level of lending to private households – the value of loans granted for the purchase of newly built dwellings</w:t>
            </w:r>
            <w:r w:rsidRPr="005A7693">
              <w:rPr>
                <w:rFonts w:eastAsia="Myriad Pro" w:cs="Myriad Pro"/>
                <w:szCs w:val="20"/>
                <w:vertAlign w:val="superscript"/>
                <w:lang w:val="sl"/>
              </w:rPr>
              <w:footnoteReference w:id="1"/>
            </w:r>
            <w:r>
              <w:t xml:space="preserve"> was more than 50% higher in the first quarter than in the same period of 2021. </w:t>
            </w:r>
          </w:p>
        </w:tc>
      </w:tr>
    </w:tbl>
    <w:p w14:paraId="78F6B14B" w14:textId="77777777" w:rsidR="00FC2DC2" w:rsidRDefault="00FC2DC2">
      <w:r>
        <w:br w:type="page"/>
      </w: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114"/>
        <w:gridCol w:w="3543"/>
      </w:tblGrid>
      <w:tr w:rsidR="006D5A1D" w:rsidRPr="008A69E9" w14:paraId="2D14BFF0" w14:textId="77777777" w:rsidTr="00866706">
        <w:trPr>
          <w:trHeight w:val="207"/>
        </w:trPr>
        <w:tc>
          <w:tcPr>
            <w:tcW w:w="6096" w:type="dxa"/>
            <w:gridSpan w:val="2"/>
            <w:tcBorders>
              <w:bottom w:val="single" w:sz="4" w:space="0" w:color="auto"/>
            </w:tcBorders>
            <w:tcMar>
              <w:left w:w="0" w:type="dxa"/>
            </w:tcMar>
          </w:tcPr>
          <w:p w14:paraId="2AFC7CD0" w14:textId="77777777" w:rsidR="006D5A1D" w:rsidRPr="008A69E9" w:rsidRDefault="006D5A1D" w:rsidP="00866706">
            <w:pPr>
              <w:jc w:val="left"/>
              <w:rPr>
                <w:b/>
              </w:rPr>
            </w:pPr>
            <w:r>
              <w:rPr>
                <w:b/>
              </w:rPr>
              <w:lastRenderedPageBreak/>
              <w:t>Wages, April 2022</w:t>
            </w:r>
          </w:p>
        </w:tc>
        <w:tc>
          <w:tcPr>
            <w:tcW w:w="3543" w:type="dxa"/>
            <w:tcBorders>
              <w:bottom w:val="single" w:sz="4" w:space="0" w:color="auto"/>
            </w:tcBorders>
          </w:tcPr>
          <w:p w14:paraId="334D0710" w14:textId="77777777" w:rsidR="006D5A1D" w:rsidRPr="008A69E9" w:rsidRDefault="006D5A1D" w:rsidP="00866706">
            <w:pPr>
              <w:rPr>
                <w:b/>
              </w:rPr>
            </w:pPr>
          </w:p>
        </w:tc>
      </w:tr>
      <w:tr w:rsidR="006D5A1D" w14:paraId="11D3B5F0" w14:textId="77777777" w:rsidTr="00866706">
        <w:trPr>
          <w:trHeight w:val="1134"/>
        </w:trPr>
        <w:tc>
          <w:tcPr>
            <w:tcW w:w="4982" w:type="dxa"/>
            <w:tcBorders>
              <w:top w:val="single" w:sz="4" w:space="0" w:color="auto"/>
            </w:tcBorders>
            <w:tcMar>
              <w:left w:w="0" w:type="dxa"/>
            </w:tcMar>
          </w:tcPr>
          <w:p w14:paraId="10142CD6" w14:textId="77777777" w:rsidR="006D5A1D" w:rsidRDefault="00065805" w:rsidP="00866706">
            <w:pPr>
              <w:pStyle w:val="Odstavekseznama"/>
              <w:ind w:left="0"/>
            </w:pPr>
            <w:r>
              <w:rPr>
                <w:noProof/>
              </w:rPr>
              <w:drawing>
                <wp:inline distT="0" distB="0" distL="0" distR="0" wp14:anchorId="6D9ADEC3" wp14:editId="6960BDC6">
                  <wp:extent cx="3092400" cy="2530800"/>
                  <wp:effectExtent l="0" t="0" r="0"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7108CEA1" w14:textId="77777777" w:rsidR="006D5A1D" w:rsidRDefault="006D5A1D" w:rsidP="00866706">
            <w:pPr>
              <w:pStyle w:val="Odstavekseznama"/>
              <w:ind w:left="0"/>
            </w:pPr>
          </w:p>
          <w:p w14:paraId="79EBDBDD" w14:textId="77777777" w:rsidR="006D5A1D" w:rsidRDefault="006D5A1D" w:rsidP="00866706">
            <w:pPr>
              <w:pStyle w:val="Odstavekseznama"/>
              <w:ind w:left="0"/>
            </w:pPr>
          </w:p>
        </w:tc>
        <w:tc>
          <w:tcPr>
            <w:tcW w:w="4657" w:type="dxa"/>
            <w:gridSpan w:val="2"/>
            <w:tcBorders>
              <w:top w:val="single" w:sz="4" w:space="0" w:color="auto"/>
            </w:tcBorders>
            <w:tcMar>
              <w:left w:w="284" w:type="dxa"/>
            </w:tcMar>
          </w:tcPr>
          <w:p w14:paraId="685EA458" w14:textId="5D923FEB" w:rsidR="006D5A1D" w:rsidRPr="00DF4F0B" w:rsidRDefault="006D5A1D" w:rsidP="00866706">
            <w:pPr>
              <w:rPr>
                <w:rFonts w:eastAsia="Myriad Pro" w:cs="Myriad Pro"/>
              </w:rPr>
            </w:pPr>
            <w:r>
              <w:rPr>
                <w:b/>
              </w:rPr>
              <w:t xml:space="preserve">In April, average wages in the public sector were 8.1% lower year-on-year in nominal terms, while they were 6.4% higher in the private sector (0.4% overall). </w:t>
            </w:r>
            <w:r>
              <w:t>Year-on-year wage growth in the public sector has been negative since November last year. This is related to allowances paid during the period when the epidemic was declared, which are no longer paid this year. In the private sector, year-on-year growth strengthened in April compared to previous months of this year. Wage growth was again the strongest in accommodation and food service activities and it was also strong in trade and transportation and storage. In all these activities, growth is affected by labour shortages. In real terms, the average wage was 6.1% lower</w:t>
            </w:r>
            <w:r w:rsidR="00E276AF">
              <w:t xml:space="preserve"> </w:t>
            </w:r>
            <w:r w:rsidR="002007A0">
              <w:t xml:space="preserve">year-on-year </w:t>
            </w:r>
            <w:r>
              <w:t>in April (14% lower in the public sector and 0.5% lower in the private sector).</w:t>
            </w:r>
          </w:p>
        </w:tc>
      </w:tr>
    </w:tbl>
    <w:p w14:paraId="01F7763B" w14:textId="77777777" w:rsidR="006D5A1D" w:rsidRDefault="006D5A1D" w:rsidP="006D5A1D">
      <w:pPr>
        <w:rPr>
          <w:b/>
        </w:rPr>
      </w:pPr>
    </w:p>
    <w:p w14:paraId="0D7F7833" w14:textId="77777777" w:rsidR="006D5A1D" w:rsidRDefault="006D5A1D" w:rsidP="006D5A1D">
      <w:pPr>
        <w:rPr>
          <w:b/>
        </w:rPr>
      </w:pPr>
    </w:p>
    <w:tbl>
      <w:tblPr>
        <w:tblStyle w:val="Tabelamre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024A7B" w14:paraId="2BEDB1D0" w14:textId="77777777" w:rsidTr="00230716">
        <w:trPr>
          <w:trHeight w:val="207"/>
        </w:trPr>
        <w:tc>
          <w:tcPr>
            <w:tcW w:w="4819" w:type="dxa"/>
            <w:tcMar>
              <w:left w:w="0" w:type="dxa"/>
            </w:tcMar>
          </w:tcPr>
          <w:p w14:paraId="6E32E9EF" w14:textId="77777777" w:rsidR="00024A7B" w:rsidRPr="007A0B59" w:rsidRDefault="00024A7B" w:rsidP="009E2247">
            <w:pPr>
              <w:pStyle w:val="Naslov31"/>
              <w:jc w:val="left"/>
            </w:pPr>
          </w:p>
        </w:tc>
        <w:tc>
          <w:tcPr>
            <w:tcW w:w="4820" w:type="dxa"/>
            <w:gridSpan w:val="2"/>
          </w:tcPr>
          <w:p w14:paraId="32456984" w14:textId="77777777" w:rsidR="00024A7B" w:rsidRPr="007A0B59" w:rsidRDefault="00024A7B" w:rsidP="009E2247">
            <w:pPr>
              <w:pStyle w:val="Naslov31"/>
            </w:pPr>
          </w:p>
        </w:tc>
      </w:tr>
      <w:tr w:rsidR="00024A7B" w14:paraId="36F9FCCB" w14:textId="77777777" w:rsidTr="00230716">
        <w:trPr>
          <w:trHeight w:val="1134"/>
        </w:trPr>
        <w:tc>
          <w:tcPr>
            <w:tcW w:w="4982" w:type="dxa"/>
            <w:gridSpan w:val="2"/>
            <w:tcMar>
              <w:left w:w="0" w:type="dxa"/>
            </w:tcMar>
          </w:tcPr>
          <w:p w14:paraId="58CB4FA1" w14:textId="77777777" w:rsidR="00024A7B" w:rsidRDefault="00024A7B" w:rsidP="009E2247">
            <w:pPr>
              <w:pStyle w:val="Odstavekseznama"/>
              <w:ind w:left="0"/>
            </w:pPr>
          </w:p>
        </w:tc>
        <w:tc>
          <w:tcPr>
            <w:tcW w:w="4657" w:type="dxa"/>
            <w:tcMar>
              <w:left w:w="284" w:type="dxa"/>
            </w:tcMar>
          </w:tcPr>
          <w:p w14:paraId="0ABAAFE1" w14:textId="77777777" w:rsidR="00024A7B" w:rsidRPr="00187077" w:rsidRDefault="00024A7B" w:rsidP="009E2247"/>
        </w:tc>
      </w:tr>
    </w:tbl>
    <w:p w14:paraId="2F63B81C" w14:textId="77777777" w:rsidR="00F25ADC" w:rsidRDefault="00F25ADC" w:rsidP="006D04BC"/>
    <w:p w14:paraId="1F9AE523" w14:textId="77777777" w:rsidR="00F25ADC" w:rsidRDefault="00F25ADC" w:rsidP="006D04BC"/>
    <w:p w14:paraId="145536D3" w14:textId="77777777" w:rsidR="00F25ADC" w:rsidRDefault="00F25ADC" w:rsidP="006D04BC"/>
    <w:p w14:paraId="2424FE97" w14:textId="77777777" w:rsidR="00F25ADC" w:rsidRDefault="00F25ADC" w:rsidP="006D04BC"/>
    <w:p w14:paraId="3A47BAB3" w14:textId="77777777" w:rsidR="003915F1" w:rsidRDefault="003915F1" w:rsidP="006D04BC"/>
    <w:p w14:paraId="6CD248AE" w14:textId="77777777" w:rsidR="00F25ADC" w:rsidRDefault="00F25ADC" w:rsidP="006D04BC"/>
    <w:p w14:paraId="5A3B2B61" w14:textId="77777777" w:rsidR="00F25ADC" w:rsidRDefault="00F25ADC" w:rsidP="006D04BC"/>
    <w:p w14:paraId="2AFBFEEF" w14:textId="77777777" w:rsidR="00F25ADC" w:rsidRDefault="00F25ADC" w:rsidP="006D04BC"/>
    <w:p w14:paraId="206FD05F" w14:textId="77777777" w:rsidR="00F25ADC" w:rsidRDefault="00F25ADC" w:rsidP="006D04BC"/>
    <w:p w14:paraId="7C99932A" w14:textId="77777777" w:rsidR="00F25ADC" w:rsidRDefault="00F25ADC" w:rsidP="006D04BC">
      <w:pPr>
        <w:sectPr w:rsidR="00F25ADC" w:rsidSect="006D04BC">
          <w:footerReference w:type="default" r:id="rId15"/>
          <w:headerReference w:type="first" r:id="rId16"/>
          <w:footerReference w:type="first" r:id="rId17"/>
          <w:type w:val="continuous"/>
          <w:pgSz w:w="11906" w:h="16838"/>
          <w:pgMar w:top="1134" w:right="1134" w:bottom="1021" w:left="1134" w:header="709" w:footer="397" w:gutter="0"/>
          <w:cols w:space="708"/>
          <w:titlePg/>
          <w:docGrid w:linePitch="360"/>
        </w:sectPr>
      </w:pPr>
    </w:p>
    <w:p w14:paraId="2AAFBD7A" w14:textId="77777777" w:rsidR="006D04BC" w:rsidRDefault="0021464C" w:rsidP="006D04BC">
      <w:r>
        <w:rPr>
          <w:noProof/>
        </w:rPr>
        <w:lastRenderedPageBreak/>
        <w:drawing>
          <wp:inline distT="0" distB="0" distL="0" distR="0" wp14:anchorId="3F5D342A" wp14:editId="75A703ED">
            <wp:extent cx="6120130" cy="8388616"/>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8388616"/>
                    </a:xfrm>
                    <a:prstGeom prst="rect">
                      <a:avLst/>
                    </a:prstGeom>
                    <a:noFill/>
                    <a:ln>
                      <a:noFill/>
                    </a:ln>
                  </pic:spPr>
                </pic:pic>
              </a:graphicData>
            </a:graphic>
          </wp:inline>
        </w:drawing>
      </w:r>
    </w:p>
    <w:p w14:paraId="3304B7AE" w14:textId="77777777" w:rsidR="00784980" w:rsidRPr="00887D7E" w:rsidRDefault="00784980" w:rsidP="001F51CD">
      <w:pPr>
        <w:tabs>
          <w:tab w:val="left" w:pos="580"/>
        </w:tabs>
      </w:pPr>
    </w:p>
    <w:sectPr w:rsidR="00784980" w:rsidRPr="00887D7E" w:rsidSect="001A31EE">
      <w:headerReference w:type="default" r:id="rId19"/>
      <w:footerReference w:type="default" r:id="rId20"/>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0CC6A7" w14:textId="77777777" w:rsidR="00ED7A5E" w:rsidRDefault="00ED7A5E" w:rsidP="0063497B">
      <w:pPr>
        <w:spacing w:line="240" w:lineRule="auto"/>
      </w:pPr>
      <w:r>
        <w:separator/>
      </w:r>
    </w:p>
  </w:endnote>
  <w:endnote w:type="continuationSeparator" w:id="0">
    <w:p w14:paraId="197DACBB" w14:textId="77777777" w:rsidR="00ED7A5E" w:rsidRDefault="00ED7A5E"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altName w:val="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2C4EA6" w14:textId="77777777" w:rsidR="006D5A1D" w:rsidRPr="00363E63" w:rsidRDefault="006D5A1D" w:rsidP="00363E63">
    <w:pPr>
      <w:tabs>
        <w:tab w:val="right" w:pos="9638"/>
      </w:tabs>
      <w:jc w:val="left"/>
      <w:rPr>
        <w:b/>
        <w:sz w:val="18"/>
        <w:szCs w:val="18"/>
      </w:rPr>
    </w:pPr>
    <w:r>
      <w:rPr>
        <w:sz w:val="18"/>
      </w:rPr>
      <w:t>More information:</w:t>
    </w:r>
    <w:r>
      <w:rPr>
        <w:b/>
        <w:sz w:val="18"/>
      </w:rPr>
      <w:t xml:space="preserve"> </w:t>
    </w:r>
    <w:r>
      <w:rPr>
        <w:sz w:val="18"/>
      </w:rPr>
      <w:t xml:space="preserve">phone: +386 1 478 10 04, e-mail: </w:t>
    </w:r>
    <w:hyperlink r:id="rId1" w:history="1">
      <w:r>
        <w:rPr>
          <w:rStyle w:val="Hiperpovezava"/>
          <w:sz w:val="18"/>
        </w:rPr>
        <w:t>polona.osrajnik@gov.si</w:t>
      </w:r>
    </w:hyperlink>
    <w:r>
      <w:rPr>
        <w:sz w:val="18"/>
      </w:rPr>
      <w:tab/>
      <w:t xml:space="preserve"> </w:t>
    </w:r>
    <w:sdt>
      <w:sdtPr>
        <w:rPr>
          <w:sz w:val="18"/>
          <w:szCs w:val="18"/>
        </w:rPr>
        <w:id w:val="1171908494"/>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Pr>
            <w:sz w:val="18"/>
          </w:rPr>
          <w:t>1</w:t>
        </w:r>
        <w:r w:rsidRPr="00363E63">
          <w:rPr>
            <w:sz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2A55A" w14:textId="77777777" w:rsidR="006D5A1D" w:rsidRPr="00363E63" w:rsidRDefault="006D5A1D" w:rsidP="00363E63">
    <w:pPr>
      <w:tabs>
        <w:tab w:val="right" w:pos="9638"/>
      </w:tabs>
      <w:jc w:val="left"/>
      <w:rPr>
        <w:b/>
        <w:sz w:val="18"/>
        <w:szCs w:val="18"/>
      </w:rPr>
    </w:pPr>
    <w:r>
      <w:rPr>
        <w:sz w:val="18"/>
      </w:rPr>
      <w:t>More information:</w:t>
    </w:r>
    <w:r>
      <w:rPr>
        <w:b/>
        <w:sz w:val="18"/>
      </w:rPr>
      <w:t xml:space="preserve"> </w:t>
    </w:r>
    <w:r>
      <w:rPr>
        <w:sz w:val="18"/>
      </w:rPr>
      <w:t xml:space="preserve">phone: +386 1 478 10 04, e-mail: </w:t>
    </w:r>
    <w:hyperlink r:id="rId1" w:history="1">
      <w:r>
        <w:rPr>
          <w:rStyle w:val="Hiperpovezava"/>
          <w:sz w:val="18"/>
        </w:rPr>
        <w:t>polona.osrajnik@gov.si</w:t>
      </w:r>
    </w:hyperlink>
    <w:r>
      <w:rPr>
        <w:sz w:val="18"/>
      </w:rPr>
      <w:tab/>
      <w:t xml:space="preserve"> </w:t>
    </w:r>
    <w:sdt>
      <w:sdtPr>
        <w:rPr>
          <w:sz w:val="18"/>
          <w:szCs w:val="18"/>
        </w:rPr>
        <w:id w:val="-1431273947"/>
        <w:docPartObj>
          <w:docPartGallery w:val="Page Numbers (Bottom of Page)"/>
          <w:docPartUnique/>
        </w:docPartObj>
      </w:sdtPr>
      <w:sdtEndPr/>
      <w:sdtContent>
        <w:r w:rsidRPr="00363E63">
          <w:rPr>
            <w:sz w:val="18"/>
          </w:rPr>
          <w:fldChar w:fldCharType="begin"/>
        </w:r>
        <w:r w:rsidRPr="00363E63">
          <w:rPr>
            <w:sz w:val="18"/>
          </w:rPr>
          <w:instrText>PAGE   \* MERGEFORMAT</w:instrText>
        </w:r>
        <w:r w:rsidRPr="00363E63">
          <w:rPr>
            <w:sz w:val="18"/>
          </w:rPr>
          <w:fldChar w:fldCharType="separate"/>
        </w:r>
        <w:r w:rsidRPr="00363E63">
          <w:rPr>
            <w:sz w:val="18"/>
          </w:rPr>
          <w:t>1</w:t>
        </w:r>
        <w:r w:rsidRPr="00363E63">
          <w:rPr>
            <w:sz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633D9" w14:textId="77777777" w:rsidR="00763932" w:rsidRPr="006D04BC" w:rsidRDefault="00F6408C" w:rsidP="001A31EE">
    <w:pPr>
      <w:pStyle w:val="Naslov31"/>
      <w:tabs>
        <w:tab w:val="left" w:pos="7980"/>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r>
      <w:rPr>
        <w:sz w:val="18"/>
      </w:rPr>
      <w:tab/>
    </w:r>
    <w:sdt>
      <w:sdtPr>
        <w:rPr>
          <w:sz w:val="18"/>
          <w:szCs w:val="18"/>
        </w:rPr>
        <w:id w:val="2020815133"/>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1</w:t>
        </w:r>
        <w:r w:rsidR="006D04BC" w:rsidRPr="00363E63">
          <w:rPr>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65248" w14:textId="77777777" w:rsidR="00763932" w:rsidRPr="006D04BC" w:rsidRDefault="00F6408C" w:rsidP="006D04BC">
    <w:pPr>
      <w:pStyle w:val="Naslov31"/>
      <w:tabs>
        <w:tab w:val="right" w:pos="9638"/>
      </w:tabs>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652685202"/>
        <w:docPartObj>
          <w:docPartGallery w:val="Page Numbers (Bottom of Page)"/>
          <w:docPartUnique/>
        </w:docPartObj>
      </w:sdtPr>
      <w:sdtEndPr/>
      <w:sdtContent>
        <w:r w:rsidR="006D04BC" w:rsidRPr="00363E63">
          <w:rPr>
            <w:sz w:val="18"/>
          </w:rPr>
          <w:fldChar w:fldCharType="begin"/>
        </w:r>
        <w:r w:rsidR="006D04BC" w:rsidRPr="00363E63">
          <w:rPr>
            <w:sz w:val="18"/>
          </w:rPr>
          <w:instrText>PAGE   \* MERGEFORMAT</w:instrText>
        </w:r>
        <w:r w:rsidR="006D04BC" w:rsidRPr="00363E63">
          <w:rPr>
            <w:sz w:val="18"/>
          </w:rPr>
          <w:fldChar w:fldCharType="separate"/>
        </w:r>
        <w:r w:rsidR="006D04BC">
          <w:rPr>
            <w:sz w:val="18"/>
          </w:rPr>
          <w:t>2</w:t>
        </w:r>
        <w:r w:rsidR="006D04BC" w:rsidRPr="00363E63">
          <w:rPr>
            <w:sz w:val="18"/>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72EAB" w14:textId="77777777" w:rsidR="001327BA" w:rsidRPr="009539F3" w:rsidRDefault="001327BA" w:rsidP="001327BA">
    <w:pPr>
      <w:pStyle w:val="Naslov31"/>
      <w:tabs>
        <w:tab w:val="left" w:pos="7980"/>
        <w:tab w:val="right" w:pos="9638"/>
      </w:tabs>
      <w:spacing w:line="240" w:lineRule="auto"/>
      <w:rPr>
        <w:b w:val="0"/>
        <w:sz w:val="18"/>
        <w:szCs w:val="18"/>
      </w:rPr>
    </w:pPr>
    <w:r>
      <w:rPr>
        <w:b w:val="0"/>
        <w:sz w:val="18"/>
      </w:rPr>
      <w:t xml:space="preserve">The table format accessible to screen reader users can be found on the IMAD website among the appendices to the current graphs of the week (Selected macroeconomic indicators for euro area) </w:t>
    </w:r>
  </w:p>
  <w:p w14:paraId="2D363342" w14:textId="77777777" w:rsidR="001327BA" w:rsidRDefault="001327BA" w:rsidP="001327BA">
    <w:pPr>
      <w:pStyle w:val="Naslov31"/>
      <w:tabs>
        <w:tab w:val="left" w:pos="7980"/>
        <w:tab w:val="right" w:pos="9638"/>
      </w:tabs>
      <w:spacing w:line="240" w:lineRule="auto"/>
      <w:jc w:val="left"/>
      <w:rPr>
        <w:sz w:val="18"/>
        <w:szCs w:val="18"/>
      </w:rPr>
    </w:pPr>
  </w:p>
  <w:p w14:paraId="13593C5A" w14:textId="77777777" w:rsidR="001A31EE" w:rsidRPr="006D04BC" w:rsidRDefault="00F6408C" w:rsidP="001327BA">
    <w:pPr>
      <w:pStyle w:val="Naslov31"/>
      <w:tabs>
        <w:tab w:val="right" w:pos="9638"/>
      </w:tabs>
      <w:spacing w:line="240" w:lineRule="auto"/>
      <w:jc w:val="left"/>
      <w:rPr>
        <w:b w:val="0"/>
        <w:sz w:val="18"/>
        <w:szCs w:val="18"/>
      </w:rPr>
    </w:pPr>
    <w:r>
      <w:rPr>
        <w:sz w:val="18"/>
      </w:rPr>
      <w:t>More information:</w:t>
    </w:r>
    <w:r>
      <w:rPr>
        <w:rStyle w:val="Naslov3Char"/>
        <w:b/>
        <w:sz w:val="18"/>
      </w:rPr>
      <w:t xml:space="preserve"> </w:t>
    </w:r>
    <w:r>
      <w:rPr>
        <w:b w:val="0"/>
        <w:sz w:val="18"/>
      </w:rPr>
      <w:t xml:space="preserve">phone: +386 1 478 10 04, e-mail: </w:t>
    </w:r>
    <w:hyperlink r:id="rId1" w:history="1">
      <w:r>
        <w:rPr>
          <w:rStyle w:val="Hiperpovezava"/>
          <w:b w:val="0"/>
          <w:color w:val="auto"/>
          <w:sz w:val="18"/>
          <w:u w:val="none"/>
        </w:rPr>
        <w:t>polona.osrajnik@gov.si</w:t>
      </w:r>
    </w:hyperlink>
    <w:r>
      <w:rPr>
        <w:sz w:val="18"/>
      </w:rPr>
      <w:tab/>
    </w:r>
    <w:sdt>
      <w:sdtPr>
        <w:rPr>
          <w:sz w:val="18"/>
          <w:szCs w:val="18"/>
        </w:rPr>
        <w:id w:val="-1083293352"/>
        <w:docPartObj>
          <w:docPartGallery w:val="Page Numbers (Bottom of Page)"/>
          <w:docPartUnique/>
        </w:docPartObj>
      </w:sdtPr>
      <w:sdtEndPr/>
      <w:sdtContent>
        <w:r w:rsidR="001A31EE" w:rsidRPr="00363E63">
          <w:rPr>
            <w:sz w:val="18"/>
          </w:rPr>
          <w:fldChar w:fldCharType="begin"/>
        </w:r>
        <w:r w:rsidR="001A31EE" w:rsidRPr="00363E63">
          <w:rPr>
            <w:sz w:val="18"/>
          </w:rPr>
          <w:instrText>PAGE   \* MERGEFORMAT</w:instrText>
        </w:r>
        <w:r w:rsidR="001A31EE" w:rsidRPr="00363E63">
          <w:rPr>
            <w:sz w:val="18"/>
          </w:rPr>
          <w:fldChar w:fldCharType="separate"/>
        </w:r>
        <w:r w:rsidR="001A31EE">
          <w:rPr>
            <w:sz w:val="18"/>
          </w:rPr>
          <w:t>1</w:t>
        </w:r>
        <w:r w:rsidR="001A31EE" w:rsidRPr="00363E63">
          <w:rPr>
            <w:sz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65E7D" w14:textId="77777777" w:rsidR="00ED7A5E" w:rsidRDefault="00ED7A5E" w:rsidP="0063497B">
      <w:pPr>
        <w:spacing w:line="240" w:lineRule="auto"/>
      </w:pPr>
      <w:r>
        <w:separator/>
      </w:r>
    </w:p>
  </w:footnote>
  <w:footnote w:type="continuationSeparator" w:id="0">
    <w:p w14:paraId="60C56A8B" w14:textId="77777777" w:rsidR="00ED7A5E" w:rsidRDefault="00ED7A5E" w:rsidP="0063497B">
      <w:pPr>
        <w:spacing w:line="240" w:lineRule="auto"/>
      </w:pPr>
      <w:r>
        <w:continuationSeparator/>
      </w:r>
    </w:p>
  </w:footnote>
  <w:footnote w:id="1">
    <w:p w14:paraId="37749E11" w14:textId="77777777" w:rsidR="006D5A1D" w:rsidRPr="00E03240" w:rsidRDefault="006D5A1D" w:rsidP="006D5A1D">
      <w:pPr>
        <w:pStyle w:val="Sprotnaopomba-besedilo"/>
        <w:rPr>
          <w:szCs w:val="16"/>
        </w:rPr>
      </w:pPr>
      <w:r>
        <w:rPr>
          <w:rStyle w:val="Sprotnaopomba-sklic"/>
          <w:szCs w:val="16"/>
        </w:rPr>
        <w:footnoteRef/>
      </w:r>
      <w:r>
        <w:t xml:space="preserve"> In addition to purchase, housing loans can also be used to build a house or for renovation work. However, the high growth in new lending was probably influenced by other factors (possible tightening of credit conditions in the near future, expectations of further price increases for renovation and construction works,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08837" w14:textId="77777777" w:rsidR="006D5A1D" w:rsidRDefault="00556C8A" w:rsidP="00286464">
    <w:pPr>
      <w:jc w:val="right"/>
    </w:pPr>
    <w:r>
      <w:rPr>
        <w:noProof/>
      </w:rPr>
      <w:drawing>
        <wp:anchor distT="0" distB="0" distL="114300" distR="114300" simplePos="0" relativeHeight="251659264" behindDoc="0" locked="0" layoutInCell="1" allowOverlap="1" wp14:anchorId="044274C6" wp14:editId="048683A2">
          <wp:simplePos x="0" y="0"/>
          <wp:positionH relativeFrom="column">
            <wp:posOffset>0</wp:posOffset>
          </wp:positionH>
          <wp:positionV relativeFrom="paragraph">
            <wp:posOffset>156210</wp:posOffset>
          </wp:positionV>
          <wp:extent cx="1155700" cy="1002030"/>
          <wp:effectExtent l="0" t="0" r="6350" b="7620"/>
          <wp:wrapTopAndBottom/>
          <wp:docPr id="6"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t>27 June 2022</w:t>
    </w:r>
  </w:p>
  <w:p w14:paraId="5B9682E4" w14:textId="77777777" w:rsidR="006D5A1D" w:rsidRDefault="006D5A1D" w:rsidP="00FE7254">
    <w:pPr>
      <w:jc w:val="right"/>
    </w:pPr>
  </w:p>
  <w:p w14:paraId="382847A9" w14:textId="77777777" w:rsidR="006D5A1D" w:rsidRDefault="006D5A1D" w:rsidP="00FE7254">
    <w:pPr>
      <w:jc w:val="right"/>
    </w:pPr>
  </w:p>
  <w:p w14:paraId="7C51E845" w14:textId="77777777" w:rsidR="006D5A1D" w:rsidRDefault="006D5A1D" w:rsidP="00FE7254">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A4CC7" w14:textId="77777777" w:rsidR="005C546C" w:rsidRPr="00FA7476" w:rsidRDefault="005C546C" w:rsidP="00FA7476">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693DC" w14:textId="77777777" w:rsidR="001A31EE" w:rsidRPr="007778A3" w:rsidRDefault="007778A3">
    <w:pPr>
      <w:pStyle w:val="Glava"/>
      <w:rPr>
        <w:b/>
        <w:bCs/>
      </w:rPr>
    </w:pPr>
    <w:r>
      <w:rPr>
        <w:b/>
      </w:rPr>
      <w:t>Table: Selected macroeconomic indicators for Slovenia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4.4pt;height:21.9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3D3"/>
    <w:rsid w:val="00001002"/>
    <w:rsid w:val="00024A7B"/>
    <w:rsid w:val="00047D38"/>
    <w:rsid w:val="000511FE"/>
    <w:rsid w:val="000547BF"/>
    <w:rsid w:val="00065805"/>
    <w:rsid w:val="00070B6E"/>
    <w:rsid w:val="00077F13"/>
    <w:rsid w:val="000A5A42"/>
    <w:rsid w:val="000A7BDC"/>
    <w:rsid w:val="000E172B"/>
    <w:rsid w:val="000F15D3"/>
    <w:rsid w:val="000F5749"/>
    <w:rsid w:val="00106F74"/>
    <w:rsid w:val="00115E8D"/>
    <w:rsid w:val="00123D52"/>
    <w:rsid w:val="00125926"/>
    <w:rsid w:val="001327BA"/>
    <w:rsid w:val="00133E20"/>
    <w:rsid w:val="0015316F"/>
    <w:rsid w:val="00160FEE"/>
    <w:rsid w:val="0016141B"/>
    <w:rsid w:val="00166A48"/>
    <w:rsid w:val="00187077"/>
    <w:rsid w:val="0019138D"/>
    <w:rsid w:val="001A0C98"/>
    <w:rsid w:val="001A2CB5"/>
    <w:rsid w:val="001A31EE"/>
    <w:rsid w:val="001B6AE7"/>
    <w:rsid w:val="001B705A"/>
    <w:rsid w:val="001C0587"/>
    <w:rsid w:val="001C138F"/>
    <w:rsid w:val="001C3A33"/>
    <w:rsid w:val="001C5839"/>
    <w:rsid w:val="001D6793"/>
    <w:rsid w:val="001F43F0"/>
    <w:rsid w:val="001F51CD"/>
    <w:rsid w:val="002007A0"/>
    <w:rsid w:val="0021464C"/>
    <w:rsid w:val="00216373"/>
    <w:rsid w:val="00230716"/>
    <w:rsid w:val="00234F14"/>
    <w:rsid w:val="00237023"/>
    <w:rsid w:val="00243593"/>
    <w:rsid w:val="0026509A"/>
    <w:rsid w:val="0026694E"/>
    <w:rsid w:val="002805C7"/>
    <w:rsid w:val="002B376F"/>
    <w:rsid w:val="002B4319"/>
    <w:rsid w:val="002B4C3A"/>
    <w:rsid w:val="002B5071"/>
    <w:rsid w:val="002B5361"/>
    <w:rsid w:val="002D46EF"/>
    <w:rsid w:val="002E69B6"/>
    <w:rsid w:val="00306767"/>
    <w:rsid w:val="00312702"/>
    <w:rsid w:val="00312D09"/>
    <w:rsid w:val="0032367A"/>
    <w:rsid w:val="0037086A"/>
    <w:rsid w:val="00373826"/>
    <w:rsid w:val="0038431B"/>
    <w:rsid w:val="00384AB6"/>
    <w:rsid w:val="003879FF"/>
    <w:rsid w:val="003915F1"/>
    <w:rsid w:val="003C614E"/>
    <w:rsid w:val="00431EDD"/>
    <w:rsid w:val="00432945"/>
    <w:rsid w:val="004361A1"/>
    <w:rsid w:val="004368FB"/>
    <w:rsid w:val="00445530"/>
    <w:rsid w:val="00452589"/>
    <w:rsid w:val="00452804"/>
    <w:rsid w:val="00464D01"/>
    <w:rsid w:val="00476809"/>
    <w:rsid w:val="00477274"/>
    <w:rsid w:val="00481FA7"/>
    <w:rsid w:val="004874AC"/>
    <w:rsid w:val="004970E5"/>
    <w:rsid w:val="004F442C"/>
    <w:rsid w:val="005307A4"/>
    <w:rsid w:val="00534457"/>
    <w:rsid w:val="005429ED"/>
    <w:rsid w:val="00546DBF"/>
    <w:rsid w:val="00556C8A"/>
    <w:rsid w:val="005608AD"/>
    <w:rsid w:val="005964A5"/>
    <w:rsid w:val="005A2CA9"/>
    <w:rsid w:val="005C546C"/>
    <w:rsid w:val="005C54C2"/>
    <w:rsid w:val="006149D8"/>
    <w:rsid w:val="006269CE"/>
    <w:rsid w:val="0063497B"/>
    <w:rsid w:val="0065006B"/>
    <w:rsid w:val="00650921"/>
    <w:rsid w:val="00671853"/>
    <w:rsid w:val="006732C5"/>
    <w:rsid w:val="006802ED"/>
    <w:rsid w:val="006875F1"/>
    <w:rsid w:val="006965FC"/>
    <w:rsid w:val="006A6820"/>
    <w:rsid w:val="006A7EF4"/>
    <w:rsid w:val="006C2117"/>
    <w:rsid w:val="006D0300"/>
    <w:rsid w:val="006D04BC"/>
    <w:rsid w:val="006D5A1D"/>
    <w:rsid w:val="006E1C81"/>
    <w:rsid w:val="007016EF"/>
    <w:rsid w:val="007323DE"/>
    <w:rsid w:val="0074452D"/>
    <w:rsid w:val="007534AE"/>
    <w:rsid w:val="00763932"/>
    <w:rsid w:val="00772003"/>
    <w:rsid w:val="007778A3"/>
    <w:rsid w:val="00784980"/>
    <w:rsid w:val="0079410F"/>
    <w:rsid w:val="007A0B59"/>
    <w:rsid w:val="007A1ADF"/>
    <w:rsid w:val="007A4BC5"/>
    <w:rsid w:val="007A6084"/>
    <w:rsid w:val="007B7110"/>
    <w:rsid w:val="007C719D"/>
    <w:rsid w:val="007F1307"/>
    <w:rsid w:val="007F63AD"/>
    <w:rsid w:val="00812D81"/>
    <w:rsid w:val="00813913"/>
    <w:rsid w:val="00860582"/>
    <w:rsid w:val="00867723"/>
    <w:rsid w:val="00887D7E"/>
    <w:rsid w:val="008B2E5D"/>
    <w:rsid w:val="008B499E"/>
    <w:rsid w:val="008F18BB"/>
    <w:rsid w:val="009023FF"/>
    <w:rsid w:val="00910265"/>
    <w:rsid w:val="0093604B"/>
    <w:rsid w:val="00940DB2"/>
    <w:rsid w:val="00946C4C"/>
    <w:rsid w:val="009539F3"/>
    <w:rsid w:val="009918B9"/>
    <w:rsid w:val="009A1E12"/>
    <w:rsid w:val="009D311B"/>
    <w:rsid w:val="009E0EA3"/>
    <w:rsid w:val="009F753B"/>
    <w:rsid w:val="00A038A3"/>
    <w:rsid w:val="00A072AA"/>
    <w:rsid w:val="00A107AD"/>
    <w:rsid w:val="00A2026E"/>
    <w:rsid w:val="00A25EF3"/>
    <w:rsid w:val="00A35FCE"/>
    <w:rsid w:val="00A42839"/>
    <w:rsid w:val="00A5647C"/>
    <w:rsid w:val="00A670D2"/>
    <w:rsid w:val="00A7050D"/>
    <w:rsid w:val="00A8329F"/>
    <w:rsid w:val="00A842CE"/>
    <w:rsid w:val="00A9607E"/>
    <w:rsid w:val="00AA1F25"/>
    <w:rsid w:val="00AA4D46"/>
    <w:rsid w:val="00AB0C65"/>
    <w:rsid w:val="00AC328B"/>
    <w:rsid w:val="00AC5D63"/>
    <w:rsid w:val="00AF3058"/>
    <w:rsid w:val="00B00E5E"/>
    <w:rsid w:val="00B220A3"/>
    <w:rsid w:val="00B37AC5"/>
    <w:rsid w:val="00B451B6"/>
    <w:rsid w:val="00B52F7E"/>
    <w:rsid w:val="00B55F54"/>
    <w:rsid w:val="00B738F6"/>
    <w:rsid w:val="00B77238"/>
    <w:rsid w:val="00B823D3"/>
    <w:rsid w:val="00B8300F"/>
    <w:rsid w:val="00B913B5"/>
    <w:rsid w:val="00BA64DB"/>
    <w:rsid w:val="00BB76AF"/>
    <w:rsid w:val="00BD4DF4"/>
    <w:rsid w:val="00BF2574"/>
    <w:rsid w:val="00C14A86"/>
    <w:rsid w:val="00C6130F"/>
    <w:rsid w:val="00C7347F"/>
    <w:rsid w:val="00C741AA"/>
    <w:rsid w:val="00CA3CFE"/>
    <w:rsid w:val="00CD10D3"/>
    <w:rsid w:val="00CD2B30"/>
    <w:rsid w:val="00CE13FA"/>
    <w:rsid w:val="00CF6407"/>
    <w:rsid w:val="00D0323E"/>
    <w:rsid w:val="00D10D15"/>
    <w:rsid w:val="00D1695B"/>
    <w:rsid w:val="00D312B6"/>
    <w:rsid w:val="00D336BB"/>
    <w:rsid w:val="00D53A43"/>
    <w:rsid w:val="00D54905"/>
    <w:rsid w:val="00D55827"/>
    <w:rsid w:val="00DB1C32"/>
    <w:rsid w:val="00DB79DE"/>
    <w:rsid w:val="00DD7D7B"/>
    <w:rsid w:val="00DE2EA9"/>
    <w:rsid w:val="00DE4ACB"/>
    <w:rsid w:val="00DE4DCF"/>
    <w:rsid w:val="00DE72F6"/>
    <w:rsid w:val="00DF3E04"/>
    <w:rsid w:val="00DF4F0B"/>
    <w:rsid w:val="00E02749"/>
    <w:rsid w:val="00E17A92"/>
    <w:rsid w:val="00E276AF"/>
    <w:rsid w:val="00E501A0"/>
    <w:rsid w:val="00E5484D"/>
    <w:rsid w:val="00E56ECD"/>
    <w:rsid w:val="00E759DE"/>
    <w:rsid w:val="00E7791D"/>
    <w:rsid w:val="00E77ACA"/>
    <w:rsid w:val="00EB0E82"/>
    <w:rsid w:val="00ED6836"/>
    <w:rsid w:val="00ED7A5E"/>
    <w:rsid w:val="00EE2BE7"/>
    <w:rsid w:val="00EE7E6E"/>
    <w:rsid w:val="00F15AA5"/>
    <w:rsid w:val="00F221C4"/>
    <w:rsid w:val="00F25ADC"/>
    <w:rsid w:val="00F409C1"/>
    <w:rsid w:val="00F41E1A"/>
    <w:rsid w:val="00F43F6C"/>
    <w:rsid w:val="00F47B15"/>
    <w:rsid w:val="00F505FF"/>
    <w:rsid w:val="00F545EF"/>
    <w:rsid w:val="00F6408C"/>
    <w:rsid w:val="00F65156"/>
    <w:rsid w:val="00F66E1B"/>
    <w:rsid w:val="00F930F6"/>
    <w:rsid w:val="00FA45E3"/>
    <w:rsid w:val="00FA7476"/>
    <w:rsid w:val="00FB5533"/>
    <w:rsid w:val="00FC2DC2"/>
    <w:rsid w:val="00FC4114"/>
    <w:rsid w:val="00FD19D9"/>
    <w:rsid w:val="00FE0C40"/>
    <w:rsid w:val="00FE12B1"/>
    <w:rsid w:val="00FF7E5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E6F4B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aliases w:val="Besedilo"/>
    <w:qFormat/>
    <w:rsid w:val="00306767"/>
    <w:pPr>
      <w:spacing w:after="0" w:line="250" w:lineRule="atLeast"/>
      <w:jc w:val="both"/>
    </w:pPr>
    <w:rPr>
      <w:rFonts w:ascii="Myriad Pro" w:hAnsi="Myriad Pro"/>
      <w:sz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63497B"/>
    <w:pPr>
      <w:tabs>
        <w:tab w:val="center" w:pos="4536"/>
        <w:tab w:val="right" w:pos="9072"/>
      </w:tabs>
      <w:spacing w:line="240" w:lineRule="auto"/>
    </w:pPr>
  </w:style>
  <w:style w:type="character" w:customStyle="1" w:styleId="GlavaZnak">
    <w:name w:val="Glava Znak"/>
    <w:basedOn w:val="Privzetapisavaodstavka"/>
    <w:link w:val="Glava"/>
    <w:uiPriority w:val="99"/>
    <w:rsid w:val="0063497B"/>
  </w:style>
  <w:style w:type="paragraph" w:styleId="Noga">
    <w:name w:val="footer"/>
    <w:basedOn w:val="Navaden"/>
    <w:link w:val="NogaZnak"/>
    <w:uiPriority w:val="99"/>
    <w:unhideWhenUsed/>
    <w:rsid w:val="0063497B"/>
    <w:pPr>
      <w:tabs>
        <w:tab w:val="center" w:pos="4536"/>
        <w:tab w:val="right" w:pos="9072"/>
      </w:tabs>
      <w:spacing w:line="240" w:lineRule="auto"/>
    </w:pPr>
  </w:style>
  <w:style w:type="character" w:customStyle="1" w:styleId="NogaZnak">
    <w:name w:val="Noga Znak"/>
    <w:basedOn w:val="Privzetapisavaodstavka"/>
    <w:link w:val="Noga"/>
    <w:uiPriority w:val="99"/>
    <w:rsid w:val="0063497B"/>
  </w:style>
  <w:style w:type="paragraph" w:styleId="Brezrazmikov">
    <w:name w:val="No Spacing"/>
    <w:uiPriority w:val="1"/>
    <w:qFormat/>
    <w:rsid w:val="00887D7E"/>
    <w:pPr>
      <w:spacing w:after="0" w:line="240" w:lineRule="auto"/>
    </w:pPr>
    <w:rPr>
      <w:rFonts w:ascii="Myriad Pro" w:hAnsi="Myriad Pro"/>
    </w:rPr>
  </w:style>
  <w:style w:type="paragraph" w:customStyle="1" w:styleId="Naslov11">
    <w:name w:val="Naslov 11"/>
    <w:basedOn w:val="Navaden"/>
    <w:link w:val="Naslov1Char"/>
    <w:qFormat/>
    <w:rsid w:val="00812D81"/>
    <w:pPr>
      <w:spacing w:line="360" w:lineRule="exact"/>
    </w:pPr>
    <w:rPr>
      <w:b/>
      <w:sz w:val="32"/>
      <w:szCs w:val="36"/>
    </w:rPr>
  </w:style>
  <w:style w:type="paragraph" w:customStyle="1" w:styleId="Naslov21">
    <w:name w:val="Naslov 21"/>
    <w:basedOn w:val="Navaden"/>
    <w:link w:val="Naslov2Char"/>
    <w:qFormat/>
    <w:rsid w:val="00812D81"/>
    <w:pPr>
      <w:spacing w:line="360" w:lineRule="exact"/>
    </w:pPr>
    <w:rPr>
      <w:sz w:val="32"/>
      <w:szCs w:val="36"/>
    </w:rPr>
  </w:style>
  <w:style w:type="character" w:customStyle="1" w:styleId="Naslov1Char">
    <w:name w:val="Naslov 1 Char"/>
    <w:basedOn w:val="Privzetapisavaodstavka"/>
    <w:link w:val="Naslov11"/>
    <w:rsid w:val="00812D81"/>
    <w:rPr>
      <w:rFonts w:ascii="Myriad Pro" w:hAnsi="Myriad Pro"/>
      <w:b/>
      <w:sz w:val="32"/>
      <w:szCs w:val="36"/>
    </w:rPr>
  </w:style>
  <w:style w:type="paragraph" w:customStyle="1" w:styleId="Naslov31">
    <w:name w:val="Naslov 31"/>
    <w:basedOn w:val="Navaden"/>
    <w:link w:val="Naslov3Char"/>
    <w:qFormat/>
    <w:rsid w:val="00671853"/>
    <w:rPr>
      <w:b/>
    </w:rPr>
  </w:style>
  <w:style w:type="character" w:customStyle="1" w:styleId="Naslov2Char">
    <w:name w:val="Naslov 2 Char"/>
    <w:basedOn w:val="Privzetapisavaodstavka"/>
    <w:link w:val="Naslov21"/>
    <w:rsid w:val="00812D81"/>
    <w:rPr>
      <w:rFonts w:ascii="Myriad Pro" w:hAnsi="Myriad Pro"/>
      <w:sz w:val="32"/>
      <w:szCs w:val="36"/>
    </w:rPr>
  </w:style>
  <w:style w:type="paragraph" w:customStyle="1" w:styleId="Dodatneinformacije">
    <w:name w:val="Dodatne informacije"/>
    <w:basedOn w:val="Navaden"/>
    <w:link w:val="DodatneinformacijeChar"/>
    <w:qFormat/>
    <w:rsid w:val="00F41E1A"/>
  </w:style>
  <w:style w:type="character" w:customStyle="1" w:styleId="Naslov3Char">
    <w:name w:val="Naslov 3 Char"/>
    <w:basedOn w:val="Privzetapisavaodstavka"/>
    <w:link w:val="Naslov31"/>
    <w:rsid w:val="00671853"/>
    <w:rPr>
      <w:rFonts w:ascii="Myriad Pro" w:hAnsi="Myriad Pro"/>
      <w:b/>
      <w:sz w:val="21"/>
    </w:rPr>
  </w:style>
  <w:style w:type="paragraph" w:styleId="Besedilooblaka">
    <w:name w:val="Balloon Text"/>
    <w:basedOn w:val="Navaden"/>
    <w:link w:val="BesedilooblakaZnak"/>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Privzetapisavaodstavka"/>
    <w:link w:val="Dodatneinformacije"/>
    <w:rsid w:val="00F41E1A"/>
    <w:rPr>
      <w:rFonts w:ascii="Myriad Pro" w:hAnsi="Myriad Pro"/>
      <w:sz w:val="21"/>
    </w:rPr>
  </w:style>
  <w:style w:type="character" w:customStyle="1" w:styleId="BesedilooblakaZnak">
    <w:name w:val="Besedilo oblačka Znak"/>
    <w:basedOn w:val="Privzetapisavaodstavka"/>
    <w:link w:val="Besedilooblaka"/>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elamrea">
    <w:name w:val="Table Grid"/>
    <w:basedOn w:val="Navadnatabela"/>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link w:val="OdstavekseznamaZnak"/>
    <w:uiPriority w:val="34"/>
    <w:qFormat/>
    <w:rsid w:val="00DF4F0B"/>
    <w:pPr>
      <w:ind w:left="720"/>
      <w:contextualSpacing/>
    </w:pPr>
  </w:style>
  <w:style w:type="paragraph" w:customStyle="1" w:styleId="Besedilomanjealineje">
    <w:name w:val="Besedilo manjše_alineje"/>
    <w:basedOn w:val="Odstavekseznama"/>
    <w:link w:val="BesedilomanjealinejeChar"/>
    <w:rsid w:val="00F545EF"/>
    <w:pPr>
      <w:numPr>
        <w:numId w:val="1"/>
      </w:numPr>
      <w:spacing w:line="220" w:lineRule="exact"/>
      <w:ind w:left="170" w:hanging="170"/>
      <w:jc w:val="left"/>
    </w:pPr>
    <w:rPr>
      <w:sz w:val="16"/>
      <w:szCs w:val="16"/>
    </w:rPr>
  </w:style>
  <w:style w:type="character" w:customStyle="1" w:styleId="OdstavekseznamaZnak">
    <w:name w:val="Odstavek seznama Znak"/>
    <w:basedOn w:val="Privzetapisavaodstavka"/>
    <w:link w:val="Odstavekseznama"/>
    <w:uiPriority w:val="34"/>
    <w:rsid w:val="00133E20"/>
    <w:rPr>
      <w:rFonts w:ascii="Myriad Pro" w:hAnsi="Myriad Pro"/>
      <w:sz w:val="21"/>
    </w:rPr>
  </w:style>
  <w:style w:type="character" w:customStyle="1" w:styleId="BesedilomanjealinejeChar">
    <w:name w:val="Besedilo manjše_alineje Char"/>
    <w:basedOn w:val="OdstavekseznamaZnak"/>
    <w:link w:val="Besedilomanjealineje"/>
    <w:rsid w:val="00F545EF"/>
    <w:rPr>
      <w:rFonts w:ascii="Myriad Pro" w:hAnsi="Myriad Pro"/>
      <w:sz w:val="16"/>
      <w:szCs w:val="16"/>
    </w:rPr>
  </w:style>
  <w:style w:type="paragraph" w:styleId="Sprotnaopomba-besedilo">
    <w:name w:val="footnote text"/>
    <w:aliases w:val="Char Char,Sprotna opomba-besedilo,Char Char Char Char,Sprotna opomba - besedilo Znak1,Sprotna opomba - besedilo Znak Znak2,Sprotna opomba - besedilo Znak1 Znak Znak1,Sprotna opomba - besedilo Znak1 Znak Znak Znak,fn,Char Ch,o"/>
    <w:basedOn w:val="Navaden"/>
    <w:link w:val="Sprotnaopomba-besediloZnak"/>
    <w:uiPriority w:val="99"/>
    <w:unhideWhenUsed/>
    <w:qFormat/>
    <w:rsid w:val="006D04BC"/>
    <w:pPr>
      <w:spacing w:line="240" w:lineRule="auto"/>
    </w:pPr>
    <w:rPr>
      <w:sz w:val="16"/>
      <w:szCs w:val="20"/>
    </w:rPr>
  </w:style>
  <w:style w:type="character" w:customStyle="1" w:styleId="Sprotnaopomba-besediloZnak">
    <w:name w:val="Sprotna opomba - besedilo Znak"/>
    <w:aliases w:val="Char Char Znak,Sprotna opomba-besedilo Znak,Char Char Char Char Znak,Sprotna opomba - besedilo Znak1 Znak,Sprotna opomba - besedilo Znak Znak2 Znak,Sprotna opomba - besedilo Znak1 Znak Znak1 Znak,fn Znak,Char Ch Znak"/>
    <w:basedOn w:val="Privzetapisavaodstavka"/>
    <w:link w:val="Sprotnaopomba-besedilo"/>
    <w:uiPriority w:val="99"/>
    <w:rsid w:val="006D04BC"/>
    <w:rPr>
      <w:rFonts w:ascii="Myriad Pro" w:hAnsi="Myriad Pro"/>
      <w:sz w:val="16"/>
      <w:szCs w:val="20"/>
    </w:rPr>
  </w:style>
  <w:style w:type="character" w:styleId="Sprotnaopomba-sklic">
    <w:name w:val="footnote reference"/>
    <w:aliases w:val="Footnote symbol,Fussnota,Footnote,Footnote reference number,note TESI,SUPERS,EN Footnote Reference,-E Fußnotenzeichen,Times 10 Point,Exposant 3 Point,E...,nota de rodapé,Footnote Reference_LVL6,Footnote Reference_LVL61,Footnot"/>
    <w:basedOn w:val="Privzetapisavaodstavka"/>
    <w:uiPriority w:val="99"/>
    <w:unhideWhenUsed/>
    <w:qFormat/>
    <w:rsid w:val="00C741AA"/>
    <w:rPr>
      <w:vertAlign w:val="superscript"/>
    </w:rPr>
  </w:style>
  <w:style w:type="character" w:styleId="Pripombasklic">
    <w:name w:val="annotation reference"/>
    <w:basedOn w:val="Privzetapisavaodstavka"/>
    <w:uiPriority w:val="99"/>
    <w:semiHidden/>
    <w:unhideWhenUsed/>
    <w:rsid w:val="006D0300"/>
    <w:rPr>
      <w:sz w:val="16"/>
      <w:szCs w:val="16"/>
    </w:rPr>
  </w:style>
  <w:style w:type="paragraph" w:styleId="Pripombabesedilo">
    <w:name w:val="annotation text"/>
    <w:basedOn w:val="Navaden"/>
    <w:link w:val="PripombabesediloZnak"/>
    <w:uiPriority w:val="99"/>
    <w:semiHidden/>
    <w:unhideWhenUsed/>
    <w:rsid w:val="006D0300"/>
    <w:pPr>
      <w:spacing w:line="240" w:lineRule="auto"/>
    </w:pPr>
    <w:rPr>
      <w:szCs w:val="20"/>
    </w:rPr>
  </w:style>
  <w:style w:type="character" w:customStyle="1" w:styleId="PripombabesediloZnak">
    <w:name w:val="Pripomba – besedilo Znak"/>
    <w:basedOn w:val="Privzetapisavaodstavka"/>
    <w:link w:val="Pripombabesedilo"/>
    <w:uiPriority w:val="99"/>
    <w:semiHidden/>
    <w:rsid w:val="006D0300"/>
    <w:rPr>
      <w:rFonts w:ascii="Myriad Pro" w:hAnsi="Myriad Pro"/>
      <w:sz w:val="20"/>
      <w:szCs w:val="20"/>
    </w:rPr>
  </w:style>
  <w:style w:type="paragraph" w:styleId="Zadevapripombe">
    <w:name w:val="annotation subject"/>
    <w:basedOn w:val="Pripombabesedilo"/>
    <w:next w:val="Pripombabesedilo"/>
    <w:link w:val="ZadevapripombeZnak"/>
    <w:uiPriority w:val="99"/>
    <w:semiHidden/>
    <w:unhideWhenUsed/>
    <w:rsid w:val="006D0300"/>
    <w:rPr>
      <w:b/>
      <w:bCs/>
    </w:rPr>
  </w:style>
  <w:style w:type="character" w:customStyle="1" w:styleId="ZadevapripombeZnak">
    <w:name w:val="Zadeva pripombe Znak"/>
    <w:basedOn w:val="PripombabesediloZnak"/>
    <w:link w:val="Zadevapripombe"/>
    <w:uiPriority w:val="99"/>
    <w:semiHidden/>
    <w:rsid w:val="006D0300"/>
    <w:rPr>
      <w:rFonts w:ascii="Myriad Pro" w:hAnsi="Myriad Pro"/>
      <w:b/>
      <w:bCs/>
      <w:sz w:val="20"/>
      <w:szCs w:val="20"/>
    </w:rPr>
  </w:style>
  <w:style w:type="character" w:styleId="Hiperpovezava">
    <w:name w:val="Hyperlink"/>
    <w:basedOn w:val="Privzetapisavaodstavka"/>
    <w:uiPriority w:val="99"/>
    <w:unhideWhenUsed/>
    <w:rsid w:val="006D04BC"/>
    <w:rPr>
      <w:color w:val="0563C1" w:themeColor="hyperlink"/>
      <w:u w:val="single"/>
    </w:rPr>
  </w:style>
  <w:style w:type="character" w:styleId="Nerazreenaomemba">
    <w:name w:val="Unresolved Mention"/>
    <w:basedOn w:val="Privzetapisavaodstavka"/>
    <w:uiPriority w:val="99"/>
    <w:semiHidden/>
    <w:unhideWhenUsed/>
    <w:rsid w:val="006D04BC"/>
    <w:rPr>
      <w:color w:val="605E5C"/>
      <w:shd w:val="clear" w:color="auto" w:fill="E1DFDD"/>
    </w:rPr>
  </w:style>
  <w:style w:type="paragraph" w:customStyle="1" w:styleId="Naslov310">
    <w:name w:val="Naslov 31"/>
    <w:basedOn w:val="Navaden"/>
    <w:qFormat/>
    <w:rsid w:val="00D55827"/>
    <w:rPr>
      <w:b/>
    </w:rPr>
  </w:style>
  <w:style w:type="paragraph" w:styleId="Revizija">
    <w:name w:val="Revision"/>
    <w:hidden/>
    <w:uiPriority w:val="99"/>
    <w:semiHidden/>
    <w:rsid w:val="002B5071"/>
    <w:pPr>
      <w:spacing w:after="0" w:line="240" w:lineRule="auto"/>
    </w:pPr>
    <w:rPr>
      <w:rFonts w:ascii="Myriad Pro" w:hAnsi="Myriad Pr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polona.osrajni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823A1-C582-46A2-8728-405BDF926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749</Words>
  <Characters>4273</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2022-06-27T10:10:00Z</dcterms:created>
  <dcterms:modified xsi:type="dcterms:W3CDTF">2022-06-27T10:10:00Z</dcterms:modified>
</cp:coreProperties>
</file>