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0F05" w14:textId="47D70E9F" w:rsidR="001D6793" w:rsidRPr="00DE72F6" w:rsidRDefault="004B235F" w:rsidP="001D6793">
      <w:pPr>
        <w:pStyle w:val="Naslov11"/>
      </w:pPr>
      <w:r>
        <w:t>GRAFI TEDNA</w:t>
      </w:r>
    </w:p>
    <w:p w14:paraId="636DFC9E" w14:textId="01B35364" w:rsidR="001D6793" w:rsidRDefault="00FA45E3" w:rsidP="001D6793">
      <w:pPr>
        <w:pStyle w:val="Naslov21"/>
      </w:pPr>
      <w:r>
        <w:t xml:space="preserve">od </w:t>
      </w:r>
      <w:r w:rsidR="00F35718">
        <w:t>10</w:t>
      </w:r>
      <w:r w:rsidR="001D6793">
        <w:t>.</w:t>
      </w:r>
      <w:r w:rsidR="00520115">
        <w:t xml:space="preserve"> </w:t>
      </w:r>
      <w:r w:rsidR="001D6793">
        <w:t xml:space="preserve">do </w:t>
      </w:r>
      <w:r w:rsidR="00F35718">
        <w:t>14</w:t>
      </w:r>
      <w:r w:rsidR="001D6793">
        <w:t xml:space="preserve">. </w:t>
      </w:r>
      <w:r w:rsidR="00AE6F57">
        <w:t>oktobra</w:t>
      </w:r>
      <w:r w:rsidR="001D6793">
        <w:t xml:space="preserve"> 20</w:t>
      </w:r>
      <w:r w:rsidR="005B4C57">
        <w:t>22</w:t>
      </w:r>
    </w:p>
    <w:p w14:paraId="0D813662" w14:textId="62600A0A" w:rsidR="00DF4F0B" w:rsidRDefault="00DF4F0B"/>
    <w:p w14:paraId="196DFF85" w14:textId="77777777" w:rsidR="00916FC4" w:rsidRDefault="00916FC4"/>
    <w:p w14:paraId="7AB5A130" w14:textId="58FEA5C9" w:rsidR="00766241" w:rsidRPr="00C353FE" w:rsidRDefault="27DA109B" w:rsidP="20B6D90F">
      <w:pPr>
        <w:spacing w:line="240" w:lineRule="atLeast"/>
      </w:pPr>
      <w:r>
        <w:t xml:space="preserve">Proizvodnja predelovalnih dejavnosti se je avgusta povečala, </w:t>
      </w:r>
      <w:r w:rsidR="00155DA6">
        <w:t>manjši</w:t>
      </w:r>
      <w:r>
        <w:t xml:space="preserve"> kot pred letom </w:t>
      </w:r>
      <w:r w:rsidR="3A7B6AB2">
        <w:t>sta bili le</w:t>
      </w:r>
      <w:r>
        <w:t xml:space="preserve"> proizvodnja motornih vozil</w:t>
      </w:r>
      <w:r w:rsidR="00751B2A">
        <w:t xml:space="preserve"> </w:t>
      </w:r>
      <w:r w:rsidR="548406F4">
        <w:t>in</w:t>
      </w:r>
      <w:r>
        <w:t xml:space="preserve"> proizvodnja v </w:t>
      </w:r>
      <w:r w:rsidR="41A7BBCF">
        <w:t xml:space="preserve">nekaterih </w:t>
      </w:r>
      <w:r>
        <w:t xml:space="preserve">tehnološko manj zahtevnih in večinoma energetsko </w:t>
      </w:r>
      <w:r w:rsidR="003B6153">
        <w:t xml:space="preserve">intenzivnejših </w:t>
      </w:r>
      <w:r>
        <w:t>panogah</w:t>
      </w:r>
      <w:r w:rsidR="4980A514">
        <w:t>.</w:t>
      </w:r>
      <w:r w:rsidR="0617EB13">
        <w:t xml:space="preserve"> Večina podjetij je septembra</w:t>
      </w:r>
      <w:r w:rsidR="0617EB13" w:rsidRPr="20B6D90F">
        <w:rPr>
          <w:rFonts w:eastAsia="Arial"/>
        </w:rPr>
        <w:t xml:space="preserve"> pričakovala zmanjšanje proizvodnje do konca leta. </w:t>
      </w:r>
      <w:r w:rsidR="5113884F" w:rsidRPr="20B6D90F">
        <w:rPr>
          <w:rFonts w:eastAsia="Arial"/>
        </w:rPr>
        <w:t>T</w:t>
      </w:r>
      <w:r w:rsidR="0617EB13" w:rsidRPr="20B6D90F">
        <w:rPr>
          <w:rFonts w:eastAsia="Arial"/>
        </w:rPr>
        <w:t xml:space="preserve">o </w:t>
      </w:r>
      <w:r w:rsidR="5087583B" w:rsidRPr="20B6D90F">
        <w:rPr>
          <w:rFonts w:eastAsia="Arial"/>
        </w:rPr>
        <w:t xml:space="preserve">nakazuje </w:t>
      </w:r>
      <w:r w:rsidR="0617EB13" w:rsidRPr="20B6D90F">
        <w:rPr>
          <w:rFonts w:eastAsia="Arial"/>
        </w:rPr>
        <w:t xml:space="preserve">tudi </w:t>
      </w:r>
      <w:r w:rsidR="0617EB13">
        <w:t>p</w:t>
      </w:r>
      <w:r w:rsidR="1F5E2A8B">
        <w:t>oraba elektrike</w:t>
      </w:r>
      <w:r w:rsidR="0617EB13">
        <w:t>, ki</w:t>
      </w:r>
      <w:r w:rsidR="1F5E2A8B">
        <w:t xml:space="preserve"> </w:t>
      </w:r>
      <w:r w:rsidR="1255592D">
        <w:t xml:space="preserve">je bila </w:t>
      </w:r>
      <w:r w:rsidR="1F5E2A8B">
        <w:t>septembra precej nižja kot v enakem obdobju lani</w:t>
      </w:r>
      <w:r w:rsidR="0617EB13">
        <w:t xml:space="preserve">. </w:t>
      </w:r>
      <w:r w:rsidR="1F5E2A8B">
        <w:t>V zadnjih mesecih je bila v primerjavi z enakim obdobjem prejšnjih petih let precej nižja tudi poraba zemeljskega plina</w:t>
      </w:r>
      <w:r w:rsidR="3B654C7D">
        <w:t xml:space="preserve"> (za okoli 1</w:t>
      </w:r>
      <w:r w:rsidR="005B0FEE">
        <w:t>5</w:t>
      </w:r>
      <w:r w:rsidR="3B654C7D">
        <w:t> %)</w:t>
      </w:r>
      <w:r w:rsidR="1F5E2A8B">
        <w:t>,</w:t>
      </w:r>
      <w:r w:rsidR="1F5E2A8B" w:rsidRPr="20B6D90F">
        <w:rPr>
          <w:rFonts w:eastAsia="Myriad Pro"/>
        </w:rPr>
        <w:t xml:space="preserve"> kar tako kot pri elektriki povezujemo s podražitvami </w:t>
      </w:r>
      <w:r w:rsidR="3B654C7D" w:rsidRPr="20B6D90F">
        <w:rPr>
          <w:rFonts w:eastAsia="Myriad Pro"/>
        </w:rPr>
        <w:t xml:space="preserve">in </w:t>
      </w:r>
      <w:r w:rsidR="00BA72A0">
        <w:rPr>
          <w:rFonts w:eastAsia="Myriad Pro"/>
        </w:rPr>
        <w:t>manjšo</w:t>
      </w:r>
      <w:r w:rsidR="00EA7CD9" w:rsidRPr="20B6D90F">
        <w:rPr>
          <w:rFonts w:eastAsia="Myriad Pro"/>
        </w:rPr>
        <w:t xml:space="preserve"> </w:t>
      </w:r>
      <w:r w:rsidR="1F5E2A8B" w:rsidRPr="20B6D90F">
        <w:rPr>
          <w:rFonts w:eastAsia="Myriad Pro"/>
        </w:rPr>
        <w:t xml:space="preserve">rabo </w:t>
      </w:r>
      <w:r w:rsidR="3B654C7D" w:rsidRPr="20B6D90F">
        <w:rPr>
          <w:rFonts w:eastAsia="Myriad Pro"/>
        </w:rPr>
        <w:t>energento</w:t>
      </w:r>
      <w:r w:rsidR="52BFB058" w:rsidRPr="20B6D90F">
        <w:rPr>
          <w:rFonts w:eastAsia="Arial"/>
        </w:rPr>
        <w:t xml:space="preserve">v. </w:t>
      </w:r>
      <w:r w:rsidR="35103D4D">
        <w:t xml:space="preserve">Gradbena aktivnost je </w:t>
      </w:r>
      <w:r w:rsidR="0286A37C">
        <w:t xml:space="preserve">bila </w:t>
      </w:r>
      <w:r w:rsidR="35103D4D">
        <w:t xml:space="preserve">po podatkih o vrednosti opravljenih gradbenih del </w:t>
      </w:r>
      <w:r w:rsidR="302E22B1">
        <w:t>avgusta</w:t>
      </w:r>
      <w:r w:rsidR="35103D4D">
        <w:t xml:space="preserve"> </w:t>
      </w:r>
      <w:r w:rsidR="0286A37C">
        <w:t>znatno višja k</w:t>
      </w:r>
      <w:bookmarkStart w:id="0" w:name="_GoBack"/>
      <w:bookmarkEnd w:id="0"/>
      <w:r w:rsidR="0286A37C">
        <w:t>ot lani. V</w:t>
      </w:r>
      <w:r w:rsidR="35103D4D">
        <w:t xml:space="preserve"> primerjavi s preteklimi leti </w:t>
      </w:r>
      <w:r w:rsidR="0286A37C">
        <w:t xml:space="preserve">je </w:t>
      </w:r>
      <w:r w:rsidR="35103D4D">
        <w:t>izstopa</w:t>
      </w:r>
      <w:r w:rsidR="0286A37C">
        <w:t>la</w:t>
      </w:r>
      <w:r w:rsidR="35103D4D">
        <w:t xml:space="preserve"> gradnja stavb, </w:t>
      </w:r>
      <w:r w:rsidR="0286A37C">
        <w:t xml:space="preserve">aktivnost pa je bila </w:t>
      </w:r>
      <w:r w:rsidR="35103D4D">
        <w:t xml:space="preserve">visoka tudi </w:t>
      </w:r>
      <w:r w:rsidR="0286A37C">
        <w:t xml:space="preserve">v </w:t>
      </w:r>
      <w:r w:rsidR="35103D4D">
        <w:t>gradnj</w:t>
      </w:r>
      <w:r w:rsidR="0286A37C">
        <w:t>i</w:t>
      </w:r>
      <w:r w:rsidR="35103D4D">
        <w:t xml:space="preserve"> inženirskih objektov. </w:t>
      </w:r>
      <w:r w:rsidR="30B3ECCD" w:rsidRPr="20B6D90F">
        <w:rPr>
          <w:rStyle w:val="Strong"/>
          <w:b w:val="0"/>
          <w:bCs w:val="0"/>
        </w:rPr>
        <w:t xml:space="preserve">Tekoči račun plačilne bilance je imel v zadnjih dvanajstih mesecih </w:t>
      </w:r>
      <w:r w:rsidR="076BF946" w:rsidRPr="20B6D90F">
        <w:rPr>
          <w:rStyle w:val="Strong"/>
          <w:b w:val="0"/>
          <w:bCs w:val="0"/>
        </w:rPr>
        <w:t xml:space="preserve">ob rasti domače potrošnje in poslabšanih pogojih menjave </w:t>
      </w:r>
      <w:r w:rsidR="30B3ECCD" w:rsidRPr="20B6D90F">
        <w:rPr>
          <w:rStyle w:val="Strong"/>
          <w:b w:val="0"/>
          <w:bCs w:val="0"/>
        </w:rPr>
        <w:t>medletno precej nižji presežek</w:t>
      </w:r>
      <w:r w:rsidR="54C1A1E0" w:rsidRPr="20B6D90F">
        <w:rPr>
          <w:rStyle w:val="Strong"/>
          <w:b w:val="0"/>
          <w:bCs w:val="0"/>
        </w:rPr>
        <w:t xml:space="preserve">, </w:t>
      </w:r>
      <w:r w:rsidR="6EC922B4" w:rsidRPr="20B6D90F">
        <w:rPr>
          <w:rStyle w:val="Strong"/>
          <w:b w:val="0"/>
          <w:bCs w:val="0"/>
        </w:rPr>
        <w:t>v prvih osmih mesecih letos pa primanjkljaj v vrednosti 212,5 mio EUR</w:t>
      </w:r>
      <w:r w:rsidR="6EC922B4" w:rsidRPr="005B0FEE">
        <w:rPr>
          <w:rStyle w:val="Strong"/>
          <w:b w:val="0"/>
        </w:rPr>
        <w:t>.</w:t>
      </w:r>
    </w:p>
    <w:p w14:paraId="0F21DA7E" w14:textId="4AB5A154" w:rsidR="008A2E00" w:rsidRDefault="008A2E00" w:rsidP="001F51CD">
      <w:pPr>
        <w:tabs>
          <w:tab w:val="left" w:pos="580"/>
        </w:tabs>
      </w:pPr>
    </w:p>
    <w:p w14:paraId="34FAE497" w14:textId="77777777" w:rsidR="00A1134B" w:rsidRDefault="00A1134B" w:rsidP="001F51CD">
      <w:pPr>
        <w:tabs>
          <w:tab w:val="left" w:pos="580"/>
        </w:tabs>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688"/>
        <w:gridCol w:w="3969"/>
      </w:tblGrid>
      <w:tr w:rsidR="00D33C9A" w14:paraId="6695F84E" w14:textId="77777777" w:rsidTr="00D33C9A">
        <w:trPr>
          <w:trHeight w:val="207"/>
        </w:trPr>
        <w:tc>
          <w:tcPr>
            <w:tcW w:w="5670" w:type="dxa"/>
            <w:gridSpan w:val="2"/>
            <w:tcBorders>
              <w:bottom w:val="single" w:sz="4" w:space="0" w:color="auto"/>
            </w:tcBorders>
            <w:tcMar>
              <w:left w:w="0" w:type="dxa"/>
            </w:tcMar>
          </w:tcPr>
          <w:p w14:paraId="66ADDEC5" w14:textId="17EF48FE" w:rsidR="00D33C9A" w:rsidRPr="006C2117" w:rsidRDefault="00D33C9A" w:rsidP="00E34231">
            <w:pPr>
              <w:pStyle w:val="Naslov31"/>
              <w:jc w:val="left"/>
            </w:pPr>
            <w:r w:rsidRPr="00BA72A0">
              <w:t>Poraba zemeljskega plina, avgust–september 2022</w:t>
            </w:r>
          </w:p>
        </w:tc>
        <w:tc>
          <w:tcPr>
            <w:tcW w:w="3969" w:type="dxa"/>
            <w:tcBorders>
              <w:bottom w:val="single" w:sz="4" w:space="0" w:color="auto"/>
            </w:tcBorders>
          </w:tcPr>
          <w:p w14:paraId="37482A92" w14:textId="77777777" w:rsidR="00D33C9A" w:rsidRPr="006C2117" w:rsidRDefault="00D33C9A" w:rsidP="00E34231">
            <w:pPr>
              <w:pStyle w:val="Naslov31"/>
            </w:pPr>
          </w:p>
        </w:tc>
      </w:tr>
      <w:tr w:rsidR="00D33C9A" w14:paraId="34EED7A0" w14:textId="77777777" w:rsidTr="00E34231">
        <w:trPr>
          <w:trHeight w:val="1134"/>
        </w:trPr>
        <w:tc>
          <w:tcPr>
            <w:tcW w:w="4982" w:type="dxa"/>
            <w:tcBorders>
              <w:top w:val="single" w:sz="4" w:space="0" w:color="auto"/>
            </w:tcBorders>
            <w:tcMar>
              <w:left w:w="0" w:type="dxa"/>
            </w:tcMar>
          </w:tcPr>
          <w:p w14:paraId="2263BD4D" w14:textId="058EFE08" w:rsidR="00D33C9A" w:rsidRDefault="00E65884" w:rsidP="00E34231">
            <w:pPr>
              <w:pStyle w:val="ListParagraph"/>
              <w:ind w:left="0"/>
            </w:pPr>
            <w:r w:rsidRPr="00E65884">
              <w:rPr>
                <w:noProof/>
              </w:rPr>
              <w:drawing>
                <wp:inline distT="0" distB="0" distL="0" distR="0" wp14:anchorId="48393628" wp14:editId="72FD96CC">
                  <wp:extent cx="3162300" cy="2603500"/>
                  <wp:effectExtent l="0" t="0" r="0" b="635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2300" cy="2603500"/>
                          </a:xfrm>
                          <a:prstGeom prst="rect">
                            <a:avLst/>
                          </a:prstGeom>
                          <a:noFill/>
                          <a:ln>
                            <a:noFill/>
                          </a:ln>
                        </pic:spPr>
                      </pic:pic>
                    </a:graphicData>
                  </a:graphic>
                </wp:inline>
              </w:drawing>
            </w:r>
          </w:p>
        </w:tc>
        <w:tc>
          <w:tcPr>
            <w:tcW w:w="4657" w:type="dxa"/>
            <w:gridSpan w:val="2"/>
            <w:tcBorders>
              <w:top w:val="single" w:sz="4" w:space="0" w:color="auto"/>
            </w:tcBorders>
            <w:tcMar>
              <w:left w:w="284" w:type="dxa"/>
            </w:tcMar>
          </w:tcPr>
          <w:p w14:paraId="6761FB34" w14:textId="5765970E" w:rsidR="00D33C9A" w:rsidRPr="00DF4F0B" w:rsidRDefault="00D33C9A" w:rsidP="00E34231">
            <w:r w:rsidRPr="00021A0F">
              <w:rPr>
                <w:rFonts w:eastAsia="Myriad Pro"/>
                <w:b/>
                <w:bCs/>
              </w:rPr>
              <w:t>Poraba zemeljskega plina je bila v avgustu za  1</w:t>
            </w:r>
            <w:r w:rsidR="0052310C">
              <w:rPr>
                <w:rFonts w:eastAsia="Myriad Pro"/>
                <w:b/>
                <w:bCs/>
              </w:rPr>
              <w:t>4</w:t>
            </w:r>
            <w:r w:rsidRPr="00021A0F">
              <w:rPr>
                <w:rFonts w:eastAsia="Myriad Pro"/>
                <w:b/>
                <w:bCs/>
              </w:rPr>
              <w:t> %</w:t>
            </w:r>
            <w:r w:rsidR="31B24AE8" w:rsidRPr="00021A0F">
              <w:rPr>
                <w:rFonts w:eastAsia="Myriad Pro"/>
                <w:b/>
                <w:bCs/>
              </w:rPr>
              <w:t>,</w:t>
            </w:r>
            <w:r w:rsidRPr="00021A0F">
              <w:rPr>
                <w:rFonts w:eastAsia="Myriad Pro"/>
                <w:b/>
                <w:bCs/>
              </w:rPr>
              <w:t xml:space="preserve"> </w:t>
            </w:r>
            <w:r w:rsidR="778290C1" w:rsidRPr="71DFD458">
              <w:rPr>
                <w:rFonts w:eastAsia="Myriad Pro"/>
                <w:b/>
                <w:bCs/>
              </w:rPr>
              <w:t>v septembru pa</w:t>
            </w:r>
            <w:r w:rsidR="778290C1" w:rsidRPr="0A3D7CF4">
              <w:rPr>
                <w:rFonts w:eastAsia="Myriad Pro"/>
                <w:b/>
                <w:bCs/>
              </w:rPr>
              <w:t xml:space="preserve"> za 11</w:t>
            </w:r>
            <w:r w:rsidR="005B0FEE">
              <w:rPr>
                <w:rFonts w:eastAsia="Myriad Pro"/>
                <w:b/>
                <w:bCs/>
              </w:rPr>
              <w:t> </w:t>
            </w:r>
            <w:r w:rsidR="778290C1" w:rsidRPr="0A3D7CF4">
              <w:rPr>
                <w:rFonts w:eastAsia="Myriad Pro"/>
                <w:b/>
                <w:bCs/>
              </w:rPr>
              <w:t>%</w:t>
            </w:r>
            <w:r w:rsidRPr="00021A0F">
              <w:rPr>
                <w:rFonts w:eastAsia="Myriad Pro"/>
                <w:b/>
                <w:bCs/>
              </w:rPr>
              <w:t xml:space="preserve"> nižja od primerljive povprečne </w:t>
            </w:r>
            <w:r>
              <w:rPr>
                <w:rFonts w:eastAsia="Myriad Pro"/>
                <w:b/>
                <w:bCs/>
              </w:rPr>
              <w:t xml:space="preserve">porabe </w:t>
            </w:r>
            <w:r w:rsidRPr="00021A0F">
              <w:rPr>
                <w:rFonts w:eastAsia="Myriad Pro"/>
                <w:b/>
                <w:bCs/>
              </w:rPr>
              <w:t xml:space="preserve">v prejšnjih petih letih, </w:t>
            </w:r>
            <w:r>
              <w:rPr>
                <w:rFonts w:eastAsia="Myriad Pro"/>
                <w:b/>
                <w:bCs/>
              </w:rPr>
              <w:t xml:space="preserve">znižanje </w:t>
            </w:r>
            <w:r w:rsidRPr="00021A0F">
              <w:rPr>
                <w:rFonts w:eastAsia="Myriad Pro"/>
                <w:b/>
                <w:bCs/>
              </w:rPr>
              <w:t>v oktobru pa</w:t>
            </w:r>
            <w:r>
              <w:rPr>
                <w:rFonts w:eastAsia="Myriad Pro"/>
                <w:b/>
                <w:bCs/>
              </w:rPr>
              <w:t xml:space="preserve"> bo glede na dosedanje podatke</w:t>
            </w:r>
            <w:r w:rsidRPr="00021A0F">
              <w:rPr>
                <w:rFonts w:eastAsia="Myriad Pro"/>
                <w:b/>
                <w:bCs/>
              </w:rPr>
              <w:t xml:space="preserve"> večje.</w:t>
            </w:r>
            <w:r w:rsidRPr="00021A0F">
              <w:rPr>
                <w:rFonts w:eastAsia="Myriad Pro"/>
                <w:b/>
              </w:rPr>
              <w:t xml:space="preserve"> </w:t>
            </w:r>
            <w:r w:rsidRPr="006125EF">
              <w:rPr>
                <w:rFonts w:eastAsia="Myriad Pro"/>
              </w:rPr>
              <w:t>Poraba plina se je glede na preteklo petletno obdobje od začetka leta zmanjšala za več kot desetino, kar povezujemo s podražitvami plina v povezavi z energetsko krizo in njegovo manjšo porabo predvsem v industriji. V oktobru se običajno z začetkom kurilne sezone poraba plina precej poveča, kljub vladnemu ukrepu omejitve povišanja cen plina pa je tudi pri gospodinjstvih med energetsko krizo pričakovati njegovo varčnejšo rabo. Po uredbi</w:t>
            </w:r>
            <w:r w:rsidRPr="006125EF">
              <w:rPr>
                <w:rFonts w:eastAsia="Myriad Pro"/>
                <w:vertAlign w:val="superscript"/>
              </w:rPr>
              <w:footnoteReference w:id="2"/>
            </w:r>
            <w:r w:rsidRPr="006125EF">
              <w:rPr>
                <w:rFonts w:eastAsia="Myriad Pro"/>
              </w:rPr>
              <w:t xml:space="preserve"> </w:t>
            </w:r>
            <w:r w:rsidR="008C32FE">
              <w:rPr>
                <w:rFonts w:eastAsia="Myriad Pro"/>
              </w:rPr>
              <w:t>Sveta EU</w:t>
            </w:r>
            <w:r w:rsidRPr="006125EF">
              <w:rPr>
                <w:rFonts w:eastAsia="Myriad Pro"/>
              </w:rPr>
              <w:t xml:space="preserve"> naj bi od 1. avgusta</w:t>
            </w:r>
            <w:r>
              <w:rPr>
                <w:rFonts w:eastAsia="Myriad Pro"/>
              </w:rPr>
              <w:t xml:space="preserve"> 2022</w:t>
            </w:r>
            <w:r w:rsidRPr="006125EF">
              <w:rPr>
                <w:rFonts w:eastAsia="Myriad Pro"/>
              </w:rPr>
              <w:t xml:space="preserve"> do 31. marca 2023 vse države </w:t>
            </w:r>
            <w:r>
              <w:rPr>
                <w:rFonts w:eastAsia="Myriad Pro"/>
              </w:rPr>
              <w:t xml:space="preserve">članice </w:t>
            </w:r>
            <w:r w:rsidRPr="006125EF">
              <w:rPr>
                <w:rFonts w:eastAsia="Myriad Pro"/>
              </w:rPr>
              <w:t xml:space="preserve">EU znižale porabo plina glede na povprečno </w:t>
            </w:r>
            <w:r>
              <w:rPr>
                <w:rFonts w:eastAsia="Myriad Pro"/>
              </w:rPr>
              <w:t xml:space="preserve">porabo </w:t>
            </w:r>
            <w:r w:rsidRPr="006125EF">
              <w:rPr>
                <w:rFonts w:eastAsia="Myriad Pro"/>
              </w:rPr>
              <w:t>v enakem obdobju prejšnjih petih let za 15 %. V Sloveniji je bila po</w:t>
            </w:r>
            <w:r>
              <w:rPr>
                <w:rFonts w:eastAsia="Myriad Pro"/>
              </w:rPr>
              <w:t xml:space="preserve"> pre</w:t>
            </w:r>
            <w:r w:rsidR="04D01CE6">
              <w:rPr>
                <w:rFonts w:eastAsia="Myriad Pro"/>
              </w:rPr>
              <w:t>dhod</w:t>
            </w:r>
            <w:r>
              <w:rPr>
                <w:rFonts w:eastAsia="Myriad Pro"/>
              </w:rPr>
              <w:t>nih</w:t>
            </w:r>
            <w:r w:rsidRPr="006125EF">
              <w:rPr>
                <w:rFonts w:eastAsia="Myriad Pro"/>
              </w:rPr>
              <w:t xml:space="preserve"> podatkih od začetka </w:t>
            </w:r>
            <w:r>
              <w:rPr>
                <w:rFonts w:eastAsia="Myriad Pro"/>
              </w:rPr>
              <w:t xml:space="preserve">letošnjega </w:t>
            </w:r>
            <w:r w:rsidRPr="006125EF">
              <w:rPr>
                <w:rFonts w:eastAsia="Myriad Pro"/>
              </w:rPr>
              <w:t>avgusta do 1</w:t>
            </w:r>
            <w:r w:rsidR="665BC357">
              <w:rPr>
                <w:rFonts w:eastAsia="Myriad Pro"/>
              </w:rPr>
              <w:t>8</w:t>
            </w:r>
            <w:r w:rsidRPr="006125EF">
              <w:rPr>
                <w:rFonts w:eastAsia="Myriad Pro"/>
              </w:rPr>
              <w:t>. oktobra 2022 poraba nižja za 1</w:t>
            </w:r>
            <w:r w:rsidR="1B31DADE" w:rsidRPr="006125EF">
              <w:rPr>
                <w:rFonts w:eastAsia="Myriad Pro"/>
              </w:rPr>
              <w:t>4</w:t>
            </w:r>
            <w:r w:rsidRPr="006125EF">
              <w:rPr>
                <w:rFonts w:eastAsia="Myriad Pro"/>
              </w:rPr>
              <w:t>,</w:t>
            </w:r>
            <w:r w:rsidR="285091C5">
              <w:rPr>
                <w:rFonts w:eastAsia="Myriad Pro"/>
              </w:rPr>
              <w:t>8</w:t>
            </w:r>
            <w:r w:rsidRPr="006125EF">
              <w:rPr>
                <w:rFonts w:eastAsia="Myriad Pro"/>
              </w:rPr>
              <w:t> %.</w:t>
            </w:r>
          </w:p>
        </w:tc>
      </w:tr>
    </w:tbl>
    <w:p w14:paraId="7BA7928B" w14:textId="77777777" w:rsidR="00D33C9A" w:rsidRDefault="00D33C9A" w:rsidP="001F51CD">
      <w:pPr>
        <w:tabs>
          <w:tab w:val="left" w:pos="580"/>
        </w:tabs>
      </w:pPr>
    </w:p>
    <w:p w14:paraId="259F32FD" w14:textId="0A421CE5" w:rsidR="00D33C9A" w:rsidRDefault="00D33C9A" w:rsidP="0005322C">
      <w:pPr>
        <w:spacing w:after="160" w:line="259" w:lineRule="auto"/>
        <w:jc w:val="left"/>
      </w:pPr>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21"/>
        <w:gridCol w:w="4536"/>
      </w:tblGrid>
      <w:tr w:rsidR="00D33C9A" w14:paraId="04726DA2" w14:textId="77777777" w:rsidTr="00305883">
        <w:trPr>
          <w:trHeight w:val="207"/>
        </w:trPr>
        <w:tc>
          <w:tcPr>
            <w:tcW w:w="5103" w:type="dxa"/>
            <w:gridSpan w:val="2"/>
            <w:tcBorders>
              <w:bottom w:val="single" w:sz="4" w:space="0" w:color="auto"/>
            </w:tcBorders>
            <w:tcMar>
              <w:left w:w="0" w:type="dxa"/>
            </w:tcMar>
          </w:tcPr>
          <w:p w14:paraId="25EAE9A2" w14:textId="646308BD" w:rsidR="00D33C9A" w:rsidRPr="006C2117" w:rsidRDefault="00D33C9A" w:rsidP="00E34231">
            <w:pPr>
              <w:pStyle w:val="Naslov31"/>
              <w:jc w:val="left"/>
            </w:pPr>
            <w:r w:rsidRPr="00BA72A0">
              <w:lastRenderedPageBreak/>
              <w:t>Poraba elektrike po odjemnih skupinah, september 2022</w:t>
            </w:r>
          </w:p>
        </w:tc>
        <w:tc>
          <w:tcPr>
            <w:tcW w:w="4536" w:type="dxa"/>
            <w:tcBorders>
              <w:bottom w:val="single" w:sz="4" w:space="0" w:color="auto"/>
            </w:tcBorders>
          </w:tcPr>
          <w:p w14:paraId="4011C2FE" w14:textId="77777777" w:rsidR="00D33C9A" w:rsidRPr="006C2117" w:rsidRDefault="00D33C9A" w:rsidP="00E34231">
            <w:pPr>
              <w:pStyle w:val="Naslov31"/>
            </w:pPr>
          </w:p>
        </w:tc>
      </w:tr>
      <w:tr w:rsidR="00D33C9A" w14:paraId="4D62A1EB" w14:textId="77777777" w:rsidTr="00E34231">
        <w:trPr>
          <w:trHeight w:val="1134"/>
        </w:trPr>
        <w:tc>
          <w:tcPr>
            <w:tcW w:w="4982" w:type="dxa"/>
            <w:tcBorders>
              <w:top w:val="single" w:sz="4" w:space="0" w:color="auto"/>
            </w:tcBorders>
            <w:tcMar>
              <w:left w:w="0" w:type="dxa"/>
            </w:tcMar>
          </w:tcPr>
          <w:p w14:paraId="34E48DC9" w14:textId="088F50E5" w:rsidR="00D33C9A" w:rsidRDefault="0005322C" w:rsidP="00E34231">
            <w:pPr>
              <w:pStyle w:val="ListParagraph"/>
              <w:ind w:left="0"/>
            </w:pPr>
            <w:r w:rsidRPr="0005322C">
              <w:rPr>
                <w:noProof/>
              </w:rPr>
              <w:drawing>
                <wp:inline distT="0" distB="0" distL="0" distR="0" wp14:anchorId="0FC9650F" wp14:editId="47C22D72">
                  <wp:extent cx="3078000" cy="2520000"/>
                  <wp:effectExtent l="0" t="0" r="8255"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8000" cy="2520000"/>
                          </a:xfrm>
                          <a:prstGeom prst="rect">
                            <a:avLst/>
                          </a:prstGeom>
                          <a:noFill/>
                          <a:ln>
                            <a:noFill/>
                          </a:ln>
                        </pic:spPr>
                      </pic:pic>
                    </a:graphicData>
                  </a:graphic>
                </wp:inline>
              </w:drawing>
            </w:r>
          </w:p>
        </w:tc>
        <w:tc>
          <w:tcPr>
            <w:tcW w:w="4657" w:type="dxa"/>
            <w:gridSpan w:val="2"/>
            <w:tcBorders>
              <w:top w:val="single" w:sz="4" w:space="0" w:color="auto"/>
            </w:tcBorders>
            <w:tcMar>
              <w:left w:w="284" w:type="dxa"/>
            </w:tcMar>
          </w:tcPr>
          <w:p w14:paraId="3F2018C2" w14:textId="49491E8A" w:rsidR="00D33C9A" w:rsidRPr="00DF4F0B" w:rsidRDefault="00C96FE7" w:rsidP="00E34231">
            <w:r w:rsidRPr="00C96FE7">
              <w:rPr>
                <w:b/>
                <w:bCs/>
              </w:rPr>
              <w:t xml:space="preserve">Septembra je bila poraba elektrike na distribucijskem omrežju medletno nižja za 4,4 %. </w:t>
            </w:r>
            <w:r w:rsidRPr="00C96FE7">
              <w:t>Glavni razlog je bila nižja industrijska poraba (</w:t>
            </w:r>
            <w:r w:rsidR="000F0AAF">
              <w:t>–</w:t>
            </w:r>
            <w:r w:rsidR="00237C97">
              <w:t> </w:t>
            </w:r>
            <w:r w:rsidRPr="00C96FE7">
              <w:t>5,1 %), kar je po naši oceni predvsem posledica nižje porabe pri nekaterih energetsko intenzivnih podjetjih, ki so zaradi</w:t>
            </w:r>
            <w:r w:rsidRPr="00C96FE7" w:rsidDel="0008575E">
              <w:t xml:space="preserve"> </w:t>
            </w:r>
            <w:r w:rsidRPr="00C96FE7">
              <w:t>visokih cen elektrike zmanjšala obseg proizvodnje, lahko pa tudi izboljšala njeno energetsko učinkovitost. Nižja kot pred letom</w:t>
            </w:r>
            <w:r w:rsidR="000F0AAF">
              <w:t xml:space="preserve"> </w:t>
            </w:r>
            <w:r w:rsidRPr="00E6544E">
              <w:t>(</w:t>
            </w:r>
            <w:r w:rsidR="000F0AAF" w:rsidRPr="00E6544E">
              <w:t>–</w:t>
            </w:r>
            <w:r w:rsidR="00237C97" w:rsidRPr="00E6544E">
              <w:t> </w:t>
            </w:r>
            <w:r w:rsidRPr="00E6544E">
              <w:t>3,9 %) je</w:t>
            </w:r>
            <w:r w:rsidRPr="00C96FE7">
              <w:t xml:space="preserve"> bila septembra tudi gospodinjska poraba, poraba malega poslovnega odjema</w:t>
            </w:r>
            <w:r w:rsidRPr="00C96FE7">
              <w:rPr>
                <w:vertAlign w:val="superscript"/>
              </w:rPr>
              <w:footnoteReference w:id="3"/>
            </w:r>
            <w:r w:rsidRPr="00C96FE7">
              <w:t xml:space="preserve"> pa je bila približno enaka.</w:t>
            </w:r>
          </w:p>
        </w:tc>
      </w:tr>
    </w:tbl>
    <w:p w14:paraId="698E02D4" w14:textId="080F71A9" w:rsidR="00D33C9A" w:rsidRDefault="00D33C9A" w:rsidP="001F51CD">
      <w:pPr>
        <w:tabs>
          <w:tab w:val="left" w:pos="580"/>
        </w:tabs>
      </w:pPr>
    </w:p>
    <w:p w14:paraId="5388106C" w14:textId="77777777" w:rsidR="00D33C9A" w:rsidRDefault="00D33C9A" w:rsidP="001F51CD">
      <w:pPr>
        <w:tabs>
          <w:tab w:val="left" w:pos="580"/>
        </w:tabs>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681"/>
        <w:gridCol w:w="2976"/>
      </w:tblGrid>
      <w:tr w:rsidR="008A2E00" w:rsidRPr="006C2117" w14:paraId="2942B224" w14:textId="77777777" w:rsidTr="00E34231">
        <w:trPr>
          <w:trHeight w:val="207"/>
        </w:trPr>
        <w:tc>
          <w:tcPr>
            <w:tcW w:w="6663" w:type="dxa"/>
            <w:gridSpan w:val="2"/>
            <w:tcBorders>
              <w:bottom w:val="single" w:sz="4" w:space="0" w:color="auto"/>
            </w:tcBorders>
            <w:tcMar>
              <w:left w:w="0" w:type="dxa"/>
            </w:tcMar>
          </w:tcPr>
          <w:p w14:paraId="2F52C852" w14:textId="37F77D8F" w:rsidR="008A2E00" w:rsidRPr="006C2117" w:rsidRDefault="008A2E00" w:rsidP="00E34231">
            <w:pPr>
              <w:pStyle w:val="Naslov31"/>
              <w:jc w:val="left"/>
            </w:pPr>
            <w:r w:rsidRPr="00BA72A0">
              <w:t>Obseg proizvodnje v predelovalnih dejavnostih, avgust 2022</w:t>
            </w:r>
          </w:p>
        </w:tc>
        <w:tc>
          <w:tcPr>
            <w:tcW w:w="2976" w:type="dxa"/>
            <w:tcBorders>
              <w:bottom w:val="single" w:sz="4" w:space="0" w:color="auto"/>
            </w:tcBorders>
          </w:tcPr>
          <w:p w14:paraId="15DBB886" w14:textId="77777777" w:rsidR="008A2E00" w:rsidRPr="006C2117" w:rsidRDefault="008A2E00" w:rsidP="00E34231">
            <w:pPr>
              <w:pStyle w:val="Naslov31"/>
            </w:pPr>
          </w:p>
        </w:tc>
      </w:tr>
      <w:tr w:rsidR="008A2E00" w:rsidRPr="00DF4F0B" w14:paraId="2DF5EFC9" w14:textId="77777777" w:rsidTr="00E34231">
        <w:trPr>
          <w:trHeight w:val="1134"/>
        </w:trPr>
        <w:tc>
          <w:tcPr>
            <w:tcW w:w="4982" w:type="dxa"/>
            <w:tcBorders>
              <w:top w:val="single" w:sz="4" w:space="0" w:color="auto"/>
            </w:tcBorders>
            <w:tcMar>
              <w:left w:w="0" w:type="dxa"/>
            </w:tcMar>
          </w:tcPr>
          <w:p w14:paraId="7EB8D129" w14:textId="376F3BBD" w:rsidR="008A2E00" w:rsidRDefault="00902C77" w:rsidP="00E34231">
            <w:pPr>
              <w:pStyle w:val="ListParagraph"/>
              <w:ind w:left="0"/>
              <w:rPr>
                <w:rFonts w:eastAsia="Arial"/>
                <w:szCs w:val="20"/>
              </w:rPr>
            </w:pPr>
            <w:r w:rsidRPr="00902C77">
              <w:rPr>
                <w:rFonts w:eastAsia="Arial"/>
                <w:noProof/>
                <w:szCs w:val="20"/>
              </w:rPr>
              <w:drawing>
                <wp:inline distT="0" distB="0" distL="0" distR="0" wp14:anchorId="0C3D2EBD" wp14:editId="3B834EB5">
                  <wp:extent cx="3156585" cy="2584450"/>
                  <wp:effectExtent l="0" t="0" r="5715" b="635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6585" cy="2584450"/>
                          </a:xfrm>
                          <a:prstGeom prst="rect">
                            <a:avLst/>
                          </a:prstGeom>
                          <a:noFill/>
                          <a:ln>
                            <a:noFill/>
                          </a:ln>
                        </pic:spPr>
                      </pic:pic>
                    </a:graphicData>
                  </a:graphic>
                </wp:inline>
              </w:drawing>
            </w:r>
          </w:p>
        </w:tc>
        <w:tc>
          <w:tcPr>
            <w:tcW w:w="4657" w:type="dxa"/>
            <w:gridSpan w:val="2"/>
            <w:tcBorders>
              <w:top w:val="single" w:sz="4" w:space="0" w:color="auto"/>
            </w:tcBorders>
            <w:tcMar>
              <w:left w:w="284" w:type="dxa"/>
            </w:tcMar>
          </w:tcPr>
          <w:p w14:paraId="5ACA2FC1" w14:textId="3C2AF77F" w:rsidR="0005322C" w:rsidRPr="0005322C" w:rsidRDefault="0005322C" w:rsidP="0005322C">
            <w:pPr>
              <w:spacing w:line="240" w:lineRule="atLeast"/>
              <w:rPr>
                <w:rFonts w:eastAsia="Arial"/>
                <w:bCs/>
                <w:szCs w:val="20"/>
              </w:rPr>
            </w:pPr>
            <w:r w:rsidRPr="0005322C">
              <w:rPr>
                <w:rFonts w:eastAsia="Arial"/>
                <w:b/>
                <w:bCs/>
                <w:szCs w:val="20"/>
              </w:rPr>
              <w:t xml:space="preserve">Proizvodnja predelovalnih dejavnosti se je avgusta povečala. </w:t>
            </w:r>
            <w:r w:rsidRPr="0005322C">
              <w:rPr>
                <w:rFonts w:eastAsia="Arial"/>
                <w:bCs/>
                <w:szCs w:val="20"/>
              </w:rPr>
              <w:t>Nadalje se je povečala v visoko tehnološko zahtevnih panogah, precej v</w:t>
            </w:r>
            <w:r w:rsidR="006B46C7">
              <w:rPr>
                <w:rFonts w:eastAsia="Arial"/>
                <w:bCs/>
                <w:szCs w:val="20"/>
              </w:rPr>
              <w:t>ečja</w:t>
            </w:r>
            <w:r w:rsidRPr="0005322C">
              <w:rPr>
                <w:rFonts w:eastAsia="Arial"/>
                <w:bCs/>
                <w:szCs w:val="20"/>
              </w:rPr>
              <w:t xml:space="preserve"> je bila tudi v srednje visoko tehnološko zahtevnih. Proizvodnja v tehnološko manj zahtevnih panogah </w:t>
            </w:r>
            <w:r w:rsidRPr="0005322C">
              <w:rPr>
                <w:rFonts w:eastAsia="Arial"/>
                <w:szCs w:val="20"/>
              </w:rPr>
              <w:t xml:space="preserve">pa </w:t>
            </w:r>
            <w:r w:rsidRPr="0005322C">
              <w:rPr>
                <w:rFonts w:eastAsia="Arial"/>
                <w:bCs/>
                <w:szCs w:val="20"/>
              </w:rPr>
              <w:t xml:space="preserve">se od sredine leta večinoma umirja. V povprečju predelovalnih dejavnosti je </w:t>
            </w:r>
            <w:r w:rsidRPr="0005322C">
              <w:rPr>
                <w:rFonts w:eastAsia="Arial"/>
                <w:szCs w:val="20"/>
              </w:rPr>
              <w:t xml:space="preserve">bila </w:t>
            </w:r>
            <w:r w:rsidRPr="0005322C">
              <w:rPr>
                <w:rFonts w:eastAsia="Arial"/>
                <w:bCs/>
                <w:szCs w:val="20"/>
              </w:rPr>
              <w:t xml:space="preserve">proizvodnja v prvih osmih mesecih leta medletno višja za 6,2 %. </w:t>
            </w:r>
            <w:r w:rsidRPr="0005322C">
              <w:rPr>
                <w:rFonts w:eastAsia="Arial"/>
                <w:szCs w:val="20"/>
              </w:rPr>
              <w:t xml:space="preserve">Nižji sta ostali </w:t>
            </w:r>
            <w:r w:rsidRPr="0005322C">
              <w:rPr>
                <w:rFonts w:eastAsia="Arial"/>
                <w:bCs/>
                <w:szCs w:val="20"/>
              </w:rPr>
              <w:t xml:space="preserve">proizvodnja motornih vozil (motnje v dobavnih verigah, »zelene« strukturne spremembe) in aktivnost v nekaterih tehnološko manj zahtevnih panogah (popravila in montaža strojev in naprav, usnjarstvo), med njimi tudi energetsko bolj intenzivnih (papirna in gumarska industrija). </w:t>
            </w:r>
          </w:p>
          <w:p w14:paraId="1996D3EF" w14:textId="77777777" w:rsidR="0005322C" w:rsidRPr="0005322C" w:rsidRDefault="0005322C" w:rsidP="0005322C">
            <w:pPr>
              <w:spacing w:line="240" w:lineRule="atLeast"/>
              <w:rPr>
                <w:rFonts w:eastAsia="Arial"/>
                <w:b/>
                <w:bCs/>
                <w:szCs w:val="20"/>
              </w:rPr>
            </w:pPr>
            <w:r w:rsidRPr="0005322C">
              <w:rPr>
                <w:rFonts w:eastAsia="Arial"/>
                <w:szCs w:val="20"/>
              </w:rPr>
              <w:t>Obeti</w:t>
            </w:r>
            <w:r w:rsidRPr="0005322C">
              <w:rPr>
                <w:rFonts w:eastAsia="Arial"/>
                <w:bCs/>
                <w:szCs w:val="20"/>
              </w:rPr>
              <w:t xml:space="preserve"> </w:t>
            </w:r>
            <w:r w:rsidRPr="0005322C">
              <w:rPr>
                <w:rFonts w:eastAsia="Arial"/>
                <w:szCs w:val="20"/>
              </w:rPr>
              <w:t>do konca</w:t>
            </w:r>
            <w:r w:rsidRPr="0005322C">
              <w:rPr>
                <w:rFonts w:eastAsia="Arial"/>
                <w:bCs/>
                <w:szCs w:val="20"/>
              </w:rPr>
              <w:t xml:space="preserve"> leta so se septembra nadalje poslabšali, </w:t>
            </w:r>
            <w:bookmarkStart w:id="1" w:name="_Hlk116643928"/>
            <w:bookmarkStart w:id="2" w:name="_Hlk116643557"/>
            <w:r w:rsidRPr="0005322C">
              <w:rPr>
                <w:rFonts w:eastAsia="Arial"/>
                <w:bCs/>
                <w:szCs w:val="20"/>
              </w:rPr>
              <w:t>ob poslabšanju izvoznih pričakovanj je večina anketiranih podjetij pričakovala zmanjšanje proizvodnje do konca leta</w:t>
            </w:r>
            <w:bookmarkEnd w:id="1"/>
            <w:r w:rsidRPr="0005322C">
              <w:rPr>
                <w:rFonts w:eastAsia="Arial"/>
                <w:bCs/>
                <w:szCs w:val="20"/>
              </w:rPr>
              <w:t>.</w:t>
            </w:r>
          </w:p>
          <w:bookmarkEnd w:id="2"/>
          <w:p w14:paraId="2A1CCD1F" w14:textId="77777777" w:rsidR="008A2E00" w:rsidRPr="00DF4F0B" w:rsidRDefault="008A2E00" w:rsidP="0005322C">
            <w:pPr>
              <w:spacing w:line="240" w:lineRule="atLeast"/>
              <w:rPr>
                <w:rFonts w:eastAsia="Arial"/>
                <w:szCs w:val="20"/>
              </w:rPr>
            </w:pPr>
          </w:p>
        </w:tc>
      </w:tr>
    </w:tbl>
    <w:p w14:paraId="2A8CFB6D" w14:textId="3F2BF52A" w:rsidR="008A2E00" w:rsidRDefault="008A2E00" w:rsidP="001F51CD">
      <w:pPr>
        <w:tabs>
          <w:tab w:val="left" w:pos="580"/>
        </w:tabs>
      </w:pPr>
    </w:p>
    <w:p w14:paraId="1469316A" w14:textId="77777777" w:rsidR="008A2E00" w:rsidRDefault="008A2E00">
      <w:pPr>
        <w:spacing w:after="160" w:line="259" w:lineRule="auto"/>
        <w:jc w:val="left"/>
      </w:pPr>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819"/>
        <w:gridCol w:w="163"/>
        <w:gridCol w:w="4657"/>
      </w:tblGrid>
      <w:tr w:rsidR="008A2E00" w14:paraId="1F829D99" w14:textId="77777777" w:rsidTr="20B6D90F">
        <w:trPr>
          <w:trHeight w:val="207"/>
        </w:trPr>
        <w:tc>
          <w:tcPr>
            <w:tcW w:w="4819" w:type="dxa"/>
            <w:tcBorders>
              <w:bottom w:val="single" w:sz="4" w:space="0" w:color="auto"/>
            </w:tcBorders>
            <w:tcMar>
              <w:left w:w="0" w:type="dxa"/>
            </w:tcMar>
          </w:tcPr>
          <w:p w14:paraId="4BA56DF2" w14:textId="7D4BDCBC" w:rsidR="008A2E00" w:rsidRPr="007A0B59" w:rsidRDefault="008A2E00" w:rsidP="00E34231">
            <w:pPr>
              <w:pStyle w:val="Naslov31"/>
              <w:jc w:val="left"/>
            </w:pPr>
            <w:r w:rsidRPr="00BA72A0">
              <w:lastRenderedPageBreak/>
              <w:t xml:space="preserve">Tekoči račun plačilne bilance, </w:t>
            </w:r>
            <w:r w:rsidR="00916FC4" w:rsidRPr="00BA72A0">
              <w:t>avgust</w:t>
            </w:r>
            <w:r w:rsidRPr="00BA72A0">
              <w:t xml:space="preserve"> 2022</w:t>
            </w:r>
            <w:r>
              <w:t xml:space="preserve"> </w:t>
            </w:r>
          </w:p>
        </w:tc>
        <w:tc>
          <w:tcPr>
            <w:tcW w:w="4820" w:type="dxa"/>
            <w:gridSpan w:val="2"/>
            <w:tcBorders>
              <w:bottom w:val="single" w:sz="4" w:space="0" w:color="auto"/>
            </w:tcBorders>
          </w:tcPr>
          <w:p w14:paraId="2477B5B5" w14:textId="77777777" w:rsidR="008A2E00" w:rsidRPr="007A0B59" w:rsidRDefault="008A2E00" w:rsidP="00E34231">
            <w:pPr>
              <w:pStyle w:val="Naslov31"/>
            </w:pPr>
          </w:p>
        </w:tc>
      </w:tr>
      <w:tr w:rsidR="008A2E00" w14:paraId="4D01F8BB" w14:textId="77777777" w:rsidTr="20B6D90F">
        <w:trPr>
          <w:trHeight w:val="1134"/>
        </w:trPr>
        <w:tc>
          <w:tcPr>
            <w:tcW w:w="4982" w:type="dxa"/>
            <w:gridSpan w:val="2"/>
            <w:tcBorders>
              <w:top w:val="single" w:sz="4" w:space="0" w:color="auto"/>
            </w:tcBorders>
            <w:tcMar>
              <w:left w:w="0" w:type="dxa"/>
            </w:tcMar>
          </w:tcPr>
          <w:p w14:paraId="70E4BCF0" w14:textId="3B297B27" w:rsidR="008A2E00" w:rsidRDefault="009121A2" w:rsidP="00E34231">
            <w:pPr>
              <w:pStyle w:val="ListParagraph"/>
              <w:ind w:left="0"/>
            </w:pPr>
            <w:r w:rsidRPr="009121A2">
              <w:rPr>
                <w:noProof/>
              </w:rPr>
              <w:drawing>
                <wp:inline distT="0" distB="0" distL="0" distR="0" wp14:anchorId="2BE75D1F" wp14:editId="41664B34">
                  <wp:extent cx="3081600" cy="2487600"/>
                  <wp:effectExtent l="0" t="0" r="5080"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1600" cy="2487600"/>
                          </a:xfrm>
                          <a:prstGeom prst="rect">
                            <a:avLst/>
                          </a:prstGeom>
                          <a:noFill/>
                          <a:ln>
                            <a:noFill/>
                          </a:ln>
                        </pic:spPr>
                      </pic:pic>
                    </a:graphicData>
                  </a:graphic>
                </wp:inline>
              </w:drawing>
            </w:r>
          </w:p>
        </w:tc>
        <w:tc>
          <w:tcPr>
            <w:tcW w:w="4657" w:type="dxa"/>
            <w:tcBorders>
              <w:top w:val="single" w:sz="4" w:space="0" w:color="auto"/>
            </w:tcBorders>
            <w:tcMar>
              <w:left w:w="284" w:type="dxa"/>
            </w:tcMar>
          </w:tcPr>
          <w:p w14:paraId="046C6241" w14:textId="6817548E" w:rsidR="008A2E00" w:rsidRPr="00916FC4" w:rsidRDefault="697A3689" w:rsidP="00E34231">
            <w:pPr>
              <w:rPr>
                <w:color w:val="DBDBDB" w:themeColor="background2"/>
              </w:rPr>
            </w:pPr>
            <w:r w:rsidRPr="20B6D90F">
              <w:rPr>
                <w:rStyle w:val="Strong"/>
              </w:rPr>
              <w:t xml:space="preserve">Tekoči račun plačilne bilance je </w:t>
            </w:r>
            <w:r w:rsidR="586088D6" w:rsidRPr="20B6D90F">
              <w:rPr>
                <w:rStyle w:val="Strong"/>
              </w:rPr>
              <w:t>imel v zadnjih dvanajstih</w:t>
            </w:r>
            <w:r w:rsidR="52FD6E74" w:rsidRPr="20B6D90F">
              <w:rPr>
                <w:rStyle w:val="Strong"/>
              </w:rPr>
              <w:t xml:space="preserve"> mesecih medletno precej nižji presežek (137,3 mio EUR v primerjavi </w:t>
            </w:r>
            <w:r w:rsidR="00CE5A69">
              <w:rPr>
                <w:rStyle w:val="Strong"/>
              </w:rPr>
              <w:t>s</w:t>
            </w:r>
            <w:r w:rsidR="52FD6E74" w:rsidRPr="20B6D90F">
              <w:rPr>
                <w:rStyle w:val="Strong"/>
              </w:rPr>
              <w:t xml:space="preserve"> 3 mrd EUR), </w:t>
            </w:r>
            <w:r w:rsidRPr="20B6D90F">
              <w:rPr>
                <w:rStyle w:val="Strong"/>
              </w:rPr>
              <w:t xml:space="preserve">v prvih osmih mesecih </w:t>
            </w:r>
            <w:r w:rsidR="2D844053" w:rsidRPr="20B6D90F">
              <w:rPr>
                <w:rStyle w:val="Strong"/>
              </w:rPr>
              <w:t>letos</w:t>
            </w:r>
            <w:r w:rsidRPr="20B6D90F">
              <w:rPr>
                <w:rStyle w:val="Strong"/>
              </w:rPr>
              <w:t xml:space="preserve"> </w:t>
            </w:r>
            <w:r w:rsidR="52FD6E74" w:rsidRPr="20B6D90F">
              <w:rPr>
                <w:rStyle w:val="Strong"/>
              </w:rPr>
              <w:t>pa</w:t>
            </w:r>
            <w:r w:rsidRPr="20B6D90F">
              <w:rPr>
                <w:rStyle w:val="Strong"/>
              </w:rPr>
              <w:t xml:space="preserve"> primanjkljaj v vrednosti 212,5</w:t>
            </w:r>
            <w:r w:rsidR="7E92CCE4" w:rsidRPr="20B6D90F">
              <w:rPr>
                <w:rStyle w:val="Strong"/>
              </w:rPr>
              <w:t> </w:t>
            </w:r>
            <w:r w:rsidRPr="20B6D90F">
              <w:rPr>
                <w:rStyle w:val="Strong"/>
              </w:rPr>
              <w:t>mio</w:t>
            </w:r>
            <w:r w:rsidR="7E92CCE4" w:rsidRPr="20B6D90F">
              <w:rPr>
                <w:rStyle w:val="Strong"/>
              </w:rPr>
              <w:t> </w:t>
            </w:r>
            <w:r w:rsidRPr="20B6D90F">
              <w:rPr>
                <w:rStyle w:val="Strong"/>
              </w:rPr>
              <w:t xml:space="preserve">EUR. </w:t>
            </w:r>
            <w:r w:rsidR="0CF6D3A9" w:rsidRPr="20B6D90F">
              <w:rPr>
                <w:rStyle w:val="Strong"/>
                <w:b w:val="0"/>
                <w:bCs w:val="0"/>
              </w:rPr>
              <w:t xml:space="preserve">K </w:t>
            </w:r>
            <w:r w:rsidR="52FD6E74" w:rsidRPr="20B6D90F">
              <w:rPr>
                <w:rStyle w:val="Strong"/>
                <w:b w:val="0"/>
                <w:bCs w:val="0"/>
              </w:rPr>
              <w:t>zniževanj</w:t>
            </w:r>
            <w:r w:rsidR="0CF6D3A9" w:rsidRPr="20B6D90F">
              <w:rPr>
                <w:rStyle w:val="Strong"/>
                <w:b w:val="0"/>
                <w:bCs w:val="0"/>
              </w:rPr>
              <w:t>u</w:t>
            </w:r>
            <w:r w:rsidR="52FD6E74" w:rsidRPr="20B6D90F">
              <w:rPr>
                <w:rStyle w:val="Strong"/>
                <w:b w:val="0"/>
                <w:bCs w:val="0"/>
              </w:rPr>
              <w:t xml:space="preserve"> presežka </w:t>
            </w:r>
            <w:r w:rsidRPr="20B6D90F">
              <w:rPr>
                <w:rStyle w:val="Strong"/>
                <w:b w:val="0"/>
                <w:bCs w:val="0"/>
              </w:rPr>
              <w:t xml:space="preserve">je največ prispeval blagovni saldo (presežek se je prevesil v primanjkljaj), saj je bila ob krepitvi domače potrošnje in poslabšanih pogojih menjave rast uvoza </w:t>
            </w:r>
            <w:r w:rsidR="553D66F1" w:rsidRPr="20B6D90F">
              <w:rPr>
                <w:rStyle w:val="Strong"/>
                <w:b w:val="0"/>
                <w:bCs w:val="0"/>
              </w:rPr>
              <w:t xml:space="preserve">blaga </w:t>
            </w:r>
            <w:r w:rsidRPr="20B6D90F">
              <w:rPr>
                <w:rStyle w:val="Strong"/>
                <w:b w:val="0"/>
                <w:bCs w:val="0"/>
              </w:rPr>
              <w:t>hitrejša od izvoza. Medletno višji so bili tudi neto odlivi primarnih in sekundarnih dohodkov. Primanjkljaj primarnih dohodkov je bil višji zaradi manj prejetih subvencij iz proračuna EU in več plačanih letošnjih carin v proračun EU kot posledica uvoza električnih vozil za celoten trg EU (Luka Koper). Višji</w:t>
            </w:r>
            <w:r w:rsidRPr="20B6D90F">
              <w:rPr>
                <w:rFonts w:eastAsia="Myriad Pro" w:cs="Myriad Pro"/>
              </w:rPr>
              <w:t xml:space="preserve"> primanjkljaj </w:t>
            </w:r>
            <w:r>
              <w:t xml:space="preserve">sekundarnih dohodkov </w:t>
            </w:r>
            <w:r w:rsidR="52FD6E74">
              <w:t>izhaja iz</w:t>
            </w:r>
            <w:r>
              <w:t xml:space="preserve"> višji</w:t>
            </w:r>
            <w:r w:rsidR="52FD6E74">
              <w:t>h</w:t>
            </w:r>
            <w:r>
              <w:t xml:space="preserve"> transfer</w:t>
            </w:r>
            <w:r w:rsidR="52FD6E74">
              <w:t>jev</w:t>
            </w:r>
            <w:r>
              <w:t xml:space="preserve"> zasebnega sektorja v tujino. Storitveni presežek </w:t>
            </w:r>
            <w:r w:rsidR="52FD6E74">
              <w:t xml:space="preserve">pa </w:t>
            </w:r>
            <w:r>
              <w:t xml:space="preserve">se </w:t>
            </w:r>
            <w:r w:rsidR="14A8F527">
              <w:t xml:space="preserve">je </w:t>
            </w:r>
            <w:r>
              <w:t>poveče</w:t>
            </w:r>
            <w:r w:rsidR="14A8F527">
              <w:t>val</w:t>
            </w:r>
            <w:r>
              <w:t>, zlasti v menjavi potovanj (sproščanje protikoronskih omejitvenih ukrepov) in menjavi transportnih storitev</w:t>
            </w:r>
            <w:r w:rsidR="2E4A34E3">
              <w:t xml:space="preserve"> v povezavi </w:t>
            </w:r>
            <w:r w:rsidR="00CE5A69">
              <w:t xml:space="preserve">z </w:t>
            </w:r>
            <w:r>
              <w:t xml:space="preserve">rastjo mednarodne menjave blaga. </w:t>
            </w:r>
          </w:p>
        </w:tc>
      </w:tr>
    </w:tbl>
    <w:p w14:paraId="32FD026C" w14:textId="3EF8A9F9" w:rsidR="008A2E00" w:rsidRDefault="008A2E00" w:rsidP="001F51CD">
      <w:pPr>
        <w:tabs>
          <w:tab w:val="left" w:pos="580"/>
        </w:tabs>
      </w:pPr>
    </w:p>
    <w:p w14:paraId="649D97E9" w14:textId="77777777" w:rsidR="00916FC4" w:rsidRDefault="00916FC4" w:rsidP="001F51CD">
      <w:pPr>
        <w:tabs>
          <w:tab w:val="left" w:pos="580"/>
        </w:tabs>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819"/>
        <w:gridCol w:w="163"/>
        <w:gridCol w:w="4657"/>
      </w:tblGrid>
      <w:tr w:rsidR="008A2E00" w14:paraId="36DCB41D" w14:textId="77777777" w:rsidTr="78CDC5C6">
        <w:trPr>
          <w:trHeight w:val="207"/>
        </w:trPr>
        <w:tc>
          <w:tcPr>
            <w:tcW w:w="4819" w:type="dxa"/>
            <w:tcBorders>
              <w:bottom w:val="single" w:sz="4" w:space="0" w:color="auto"/>
            </w:tcBorders>
            <w:tcMar>
              <w:left w:w="0" w:type="dxa"/>
            </w:tcMar>
          </w:tcPr>
          <w:p w14:paraId="290952A0" w14:textId="7CE80E76" w:rsidR="008A2E00" w:rsidRPr="006C2117" w:rsidRDefault="008A2E00" w:rsidP="00E34231">
            <w:pPr>
              <w:pStyle w:val="Naslov31"/>
              <w:jc w:val="left"/>
            </w:pPr>
            <w:r>
              <w:t xml:space="preserve">Aktivnost v gradbeništvu, </w:t>
            </w:r>
            <w:r w:rsidR="00916FC4">
              <w:t xml:space="preserve">avgust </w:t>
            </w:r>
            <w:r>
              <w:t xml:space="preserve">2022 </w:t>
            </w:r>
          </w:p>
        </w:tc>
        <w:tc>
          <w:tcPr>
            <w:tcW w:w="4820" w:type="dxa"/>
            <w:gridSpan w:val="2"/>
            <w:tcBorders>
              <w:bottom w:val="single" w:sz="4" w:space="0" w:color="auto"/>
            </w:tcBorders>
          </w:tcPr>
          <w:p w14:paraId="65B39EB7" w14:textId="77777777" w:rsidR="008A2E00" w:rsidRPr="006C2117" w:rsidRDefault="008A2E00" w:rsidP="00E34231">
            <w:pPr>
              <w:pStyle w:val="Naslov31"/>
            </w:pPr>
          </w:p>
        </w:tc>
      </w:tr>
      <w:tr w:rsidR="00916FC4" w:rsidRPr="00916FC4" w14:paraId="326A8C51" w14:textId="77777777" w:rsidTr="78CDC5C6">
        <w:trPr>
          <w:trHeight w:val="1134"/>
        </w:trPr>
        <w:tc>
          <w:tcPr>
            <w:tcW w:w="4982" w:type="dxa"/>
            <w:gridSpan w:val="2"/>
            <w:tcBorders>
              <w:top w:val="single" w:sz="4" w:space="0" w:color="auto"/>
            </w:tcBorders>
            <w:tcMar>
              <w:left w:w="0" w:type="dxa"/>
            </w:tcMar>
          </w:tcPr>
          <w:p w14:paraId="4BF68A03" w14:textId="7EAFE55B" w:rsidR="008A2E00" w:rsidRDefault="00041021" w:rsidP="00E34231">
            <w:pPr>
              <w:pStyle w:val="ListParagraph"/>
              <w:ind w:left="0"/>
            </w:pPr>
            <w:r w:rsidRPr="002F00BB">
              <w:rPr>
                <w:noProof/>
              </w:rPr>
              <w:drawing>
                <wp:inline distT="0" distB="0" distL="0" distR="0" wp14:anchorId="3CFEBEAF" wp14:editId="13E60556">
                  <wp:extent cx="3159760" cy="2586355"/>
                  <wp:effectExtent l="0" t="0" r="2540" b="4445"/>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9760" cy="2586355"/>
                          </a:xfrm>
                          <a:prstGeom prst="rect">
                            <a:avLst/>
                          </a:prstGeom>
                          <a:noFill/>
                          <a:ln>
                            <a:noFill/>
                          </a:ln>
                        </pic:spPr>
                      </pic:pic>
                    </a:graphicData>
                  </a:graphic>
                </wp:inline>
              </w:drawing>
            </w:r>
          </w:p>
        </w:tc>
        <w:tc>
          <w:tcPr>
            <w:tcW w:w="4657" w:type="dxa"/>
            <w:tcBorders>
              <w:top w:val="single" w:sz="4" w:space="0" w:color="auto"/>
            </w:tcBorders>
            <w:tcMar>
              <w:left w:w="284" w:type="dxa"/>
            </w:tcMar>
          </w:tcPr>
          <w:p w14:paraId="36FA51EE" w14:textId="0433462B" w:rsidR="0055149E" w:rsidRPr="00916FC4" w:rsidRDefault="5DC54189" w:rsidP="0055149E">
            <w:r w:rsidRPr="78CDC5C6">
              <w:rPr>
                <w:rFonts w:eastAsia="Myriad Pro" w:cs="Myriad Pro"/>
                <w:b/>
                <w:bCs/>
              </w:rPr>
              <w:t>Po podatkih o vrednosti opravljenih gradbenih del je bila avgusta gradbena aktivnost znatno višj</w:t>
            </w:r>
            <w:r w:rsidR="4C63FB2E" w:rsidRPr="78CDC5C6">
              <w:rPr>
                <w:rFonts w:eastAsia="Myriad Pro" w:cs="Myriad Pro"/>
                <w:b/>
                <w:bCs/>
              </w:rPr>
              <w:t>a</w:t>
            </w:r>
            <w:r w:rsidRPr="78CDC5C6">
              <w:rPr>
                <w:rFonts w:eastAsia="Myriad Pro" w:cs="Myriad Pro"/>
                <w:b/>
                <w:bCs/>
              </w:rPr>
              <w:t xml:space="preserve"> kot lani.</w:t>
            </w:r>
            <w:r w:rsidRPr="78CDC5C6">
              <w:rPr>
                <w:rFonts w:eastAsia="Myriad Pro" w:cs="Myriad Pro"/>
                <w:b/>
                <w:bCs/>
                <w:sz w:val="18"/>
                <w:szCs w:val="18"/>
              </w:rPr>
              <w:t xml:space="preserve"> </w:t>
            </w:r>
            <w:r w:rsidRPr="78CDC5C6">
              <w:rPr>
                <w:rFonts w:eastAsia="Myriad Pro" w:cs="Myriad Pro"/>
              </w:rPr>
              <w:t>Po močni okrepitvi</w:t>
            </w:r>
            <w:r w:rsidR="109A4505" w:rsidRPr="78CDC5C6">
              <w:rPr>
                <w:rFonts w:eastAsia="Myriad Pro" w:cs="Myriad Pro"/>
              </w:rPr>
              <w:t xml:space="preserve"> </w:t>
            </w:r>
            <w:r w:rsidRPr="78CDC5C6">
              <w:rPr>
                <w:rFonts w:eastAsia="Myriad Pro" w:cs="Myriad Pro"/>
              </w:rPr>
              <w:t xml:space="preserve">aktivnosti v začetku letošnjega leta je vrednost del v nadaljevanju leta ostala na </w:t>
            </w:r>
            <w:r w:rsidR="001828E9">
              <w:rPr>
                <w:rFonts w:eastAsia="Myriad Pro" w:cs="Myriad Pro"/>
              </w:rPr>
              <w:t>tej</w:t>
            </w:r>
            <w:r w:rsidR="001828E9" w:rsidRPr="78CDC5C6">
              <w:rPr>
                <w:rFonts w:eastAsia="Myriad Pro" w:cs="Myriad Pro"/>
              </w:rPr>
              <w:t xml:space="preserve"> </w:t>
            </w:r>
            <w:r w:rsidRPr="78CDC5C6">
              <w:rPr>
                <w:rFonts w:eastAsia="Myriad Pro" w:cs="Myriad Pro"/>
              </w:rPr>
              <w:t>ravni in bila avgusta za 30,2</w:t>
            </w:r>
            <w:r w:rsidRPr="78CDC5C6">
              <w:rPr>
                <w:rFonts w:ascii="Arial" w:eastAsia="Arial" w:hAnsi="Arial" w:cs="Arial"/>
              </w:rPr>
              <w:t> </w:t>
            </w:r>
            <w:r w:rsidRPr="78CDC5C6">
              <w:rPr>
                <w:rFonts w:eastAsia="Myriad Pro" w:cs="Myriad Pro"/>
              </w:rPr>
              <w:t xml:space="preserve">% višja kot </w:t>
            </w:r>
            <w:r w:rsidR="4C63FB2E" w:rsidRPr="78CDC5C6">
              <w:rPr>
                <w:rFonts w:eastAsia="Myriad Pro" w:cs="Myriad Pro"/>
              </w:rPr>
              <w:t xml:space="preserve">v enakem obdobju </w:t>
            </w:r>
            <w:r w:rsidRPr="78CDC5C6">
              <w:rPr>
                <w:rFonts w:eastAsia="Myriad Pro" w:cs="Myriad Pro"/>
              </w:rPr>
              <w:t xml:space="preserve">lani. V primerjavi s preteklimi leti izstopa gradnja stavb, </w:t>
            </w:r>
            <w:r w:rsidR="4C63FB2E" w:rsidRPr="78CDC5C6">
              <w:rPr>
                <w:rFonts w:eastAsia="Myriad Pro" w:cs="Myriad Pro"/>
              </w:rPr>
              <w:t xml:space="preserve">aktivnost je bila </w:t>
            </w:r>
            <w:r w:rsidRPr="78CDC5C6">
              <w:rPr>
                <w:rFonts w:eastAsia="Myriad Pro" w:cs="Myriad Pro"/>
              </w:rPr>
              <w:t>visoka tudi v gradnji inženirskih objektov, v specializiranih gradbenih delih (inštalacijska dela, zaključna gradbena dela) pa nižja. Implicitni deflator vrednosti opravljenih gradbenih del</w:t>
            </w:r>
            <w:r w:rsidR="4C63FB2E" w:rsidRPr="78CDC5C6">
              <w:rPr>
                <w:rFonts w:eastAsia="Myriad Pro" w:cs="Myriad Pro"/>
              </w:rPr>
              <w:t xml:space="preserve">, </w:t>
            </w:r>
            <w:r w:rsidRPr="78CDC5C6">
              <w:rPr>
                <w:rFonts w:eastAsia="Myriad Pro" w:cs="Myriad Pro"/>
              </w:rPr>
              <w:t>ki meri cene v gradbeništvu</w:t>
            </w:r>
            <w:r w:rsidR="4C63FB2E" w:rsidRPr="78CDC5C6">
              <w:rPr>
                <w:rFonts w:eastAsia="Myriad Pro" w:cs="Myriad Pro"/>
              </w:rPr>
              <w:t>,</w:t>
            </w:r>
            <w:r w:rsidRPr="78CDC5C6">
              <w:rPr>
                <w:rFonts w:eastAsia="Myriad Pro" w:cs="Myriad Pro"/>
              </w:rPr>
              <w:t xml:space="preserve"> je avgusta znašal 18</w:t>
            </w:r>
            <w:r w:rsidRPr="78CDC5C6">
              <w:rPr>
                <w:rFonts w:ascii="Arial" w:eastAsia="Arial" w:hAnsi="Arial" w:cs="Arial"/>
              </w:rPr>
              <w:t> </w:t>
            </w:r>
            <w:r w:rsidRPr="78CDC5C6">
              <w:rPr>
                <w:rFonts w:eastAsia="Myriad Pro" w:cs="Myriad Pro"/>
              </w:rPr>
              <w:t xml:space="preserve">%, kar je sicer nekaj manj kot v predhodnih mesecih. </w:t>
            </w:r>
          </w:p>
          <w:p w14:paraId="117AE331" w14:textId="62885AF3" w:rsidR="008A2E00" w:rsidRPr="00916FC4" w:rsidRDefault="0055149E" w:rsidP="0055149E">
            <w:pPr>
              <w:rPr>
                <w:color w:val="DBDBDB" w:themeColor="background2"/>
              </w:rPr>
            </w:pPr>
            <w:r w:rsidRPr="6670785D">
              <w:rPr>
                <w:rFonts w:eastAsia="Myriad Pro" w:cs="Myriad Pro"/>
                <w:szCs w:val="20"/>
              </w:rPr>
              <w:t>Nekateri drugi podatki kažejo na znatno nižjo aktivnost v gradbeništvu. Po podatkih DDV je bila v prvih sedmih mesecih</w:t>
            </w:r>
            <w:r w:rsidR="00070926">
              <w:rPr>
                <w:rStyle w:val="FootnoteReference"/>
                <w:rFonts w:eastAsia="Myriad Pro" w:cs="Myriad Pro"/>
                <w:szCs w:val="20"/>
              </w:rPr>
              <w:footnoteReference w:id="4"/>
            </w:r>
            <w:r w:rsidRPr="6670785D">
              <w:rPr>
                <w:rFonts w:eastAsia="Myriad Pro" w:cs="Myriad Pro"/>
                <w:szCs w:val="20"/>
              </w:rPr>
              <w:t xml:space="preserve"> aktivnost podjetij iz dejavnosti gradbeništva za 7</w:t>
            </w:r>
            <w:r w:rsidR="00BA0035">
              <w:rPr>
                <w:rFonts w:eastAsia="Myriad Pro" w:cs="Myriad Pro"/>
                <w:szCs w:val="20"/>
              </w:rPr>
              <w:t> </w:t>
            </w:r>
            <w:r w:rsidRPr="6670785D">
              <w:rPr>
                <w:rFonts w:eastAsia="Myriad Pro" w:cs="Myriad Pro"/>
                <w:szCs w:val="20"/>
              </w:rPr>
              <w:t xml:space="preserve">% višja kot lani. Razlika v rasti aktivnosti glede na podatke o vrednosti opravljenih gradbenih del je </w:t>
            </w:r>
            <w:r w:rsidR="00BA0035">
              <w:rPr>
                <w:rFonts w:eastAsia="Myriad Pro" w:cs="Myriad Pro"/>
                <w:szCs w:val="20"/>
              </w:rPr>
              <w:t xml:space="preserve">tako </w:t>
            </w:r>
            <w:r w:rsidRPr="6670785D">
              <w:rPr>
                <w:rFonts w:eastAsia="Myriad Pro" w:cs="Myriad Pro"/>
                <w:szCs w:val="20"/>
              </w:rPr>
              <w:t>znašala 17</w:t>
            </w:r>
            <w:r w:rsidRPr="6670785D">
              <w:rPr>
                <w:rFonts w:ascii="Arial" w:eastAsia="Arial" w:hAnsi="Arial" w:cs="Arial"/>
                <w:szCs w:val="20"/>
              </w:rPr>
              <w:t> </w:t>
            </w:r>
            <w:r w:rsidRPr="6670785D">
              <w:rPr>
                <w:rFonts w:eastAsia="Myriad Pro" w:cs="Myriad Pro"/>
                <w:szCs w:val="20"/>
              </w:rPr>
              <w:t>o.</w:t>
            </w:r>
            <w:r w:rsidRPr="6670785D">
              <w:rPr>
                <w:rFonts w:ascii="Arial" w:eastAsia="Arial" w:hAnsi="Arial" w:cs="Arial"/>
                <w:szCs w:val="20"/>
              </w:rPr>
              <w:t> </w:t>
            </w:r>
            <w:r w:rsidRPr="6670785D">
              <w:rPr>
                <w:rFonts w:eastAsia="Myriad Pro" w:cs="Myriad Pro"/>
                <w:szCs w:val="20"/>
              </w:rPr>
              <w:t>t.</w:t>
            </w:r>
          </w:p>
        </w:tc>
      </w:tr>
    </w:tbl>
    <w:p w14:paraId="30BAA7E8" w14:textId="588C6ABD" w:rsidR="008A2E00" w:rsidRDefault="008A2E00" w:rsidP="001F51CD">
      <w:pPr>
        <w:tabs>
          <w:tab w:val="left" w:pos="580"/>
        </w:tabs>
      </w:pPr>
    </w:p>
    <w:p w14:paraId="0EC9E500" w14:textId="402EA87D" w:rsidR="008A2E00" w:rsidRDefault="008A2E00" w:rsidP="00070313">
      <w:pPr>
        <w:spacing w:after="160" w:line="259" w:lineRule="auto"/>
        <w:jc w:val="left"/>
      </w:pPr>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858"/>
        <w:gridCol w:w="2799"/>
      </w:tblGrid>
      <w:tr w:rsidR="008A2E00" w:rsidRPr="008A2E00" w14:paraId="1987E5B4" w14:textId="77777777" w:rsidTr="00E34231">
        <w:trPr>
          <w:trHeight w:val="207"/>
        </w:trPr>
        <w:tc>
          <w:tcPr>
            <w:tcW w:w="6840" w:type="dxa"/>
            <w:gridSpan w:val="2"/>
            <w:tcBorders>
              <w:bottom w:val="single" w:sz="4" w:space="0" w:color="auto"/>
            </w:tcBorders>
            <w:tcMar>
              <w:left w:w="0" w:type="dxa"/>
            </w:tcMar>
          </w:tcPr>
          <w:p w14:paraId="49DBCD5B" w14:textId="57D56321" w:rsidR="008A2E00" w:rsidRPr="008A2E00" w:rsidRDefault="008A2E00" w:rsidP="008A2E00">
            <w:pPr>
              <w:jc w:val="left"/>
              <w:rPr>
                <w:b/>
              </w:rPr>
            </w:pPr>
            <w:r w:rsidRPr="00BA72A0">
              <w:rPr>
                <w:b/>
              </w:rPr>
              <w:lastRenderedPageBreak/>
              <w:t>Obseg cestnega in železniškega blagovnega prometa, 2. četrtletje 2022</w:t>
            </w:r>
            <w:r w:rsidRPr="008A2E00">
              <w:rPr>
                <w:b/>
              </w:rPr>
              <w:t xml:space="preserve"> </w:t>
            </w:r>
          </w:p>
        </w:tc>
        <w:tc>
          <w:tcPr>
            <w:tcW w:w="2799" w:type="dxa"/>
            <w:tcBorders>
              <w:bottom w:val="single" w:sz="4" w:space="0" w:color="auto"/>
            </w:tcBorders>
          </w:tcPr>
          <w:p w14:paraId="1061F886" w14:textId="77777777" w:rsidR="008A2E00" w:rsidRPr="008A2E00" w:rsidRDefault="008A2E00" w:rsidP="008A2E00"/>
        </w:tc>
      </w:tr>
      <w:tr w:rsidR="008A2E00" w:rsidRPr="008A2E00" w14:paraId="11FB0B64" w14:textId="77777777" w:rsidTr="00E34231">
        <w:trPr>
          <w:trHeight w:val="1134"/>
        </w:trPr>
        <w:tc>
          <w:tcPr>
            <w:tcW w:w="4982" w:type="dxa"/>
            <w:tcBorders>
              <w:top w:val="single" w:sz="4" w:space="0" w:color="auto"/>
            </w:tcBorders>
            <w:tcMar>
              <w:left w:w="0" w:type="dxa"/>
            </w:tcMar>
          </w:tcPr>
          <w:p w14:paraId="0D83E6A3" w14:textId="105AFA46" w:rsidR="008A2E00" w:rsidRPr="008A2E00" w:rsidRDefault="00DA6949" w:rsidP="008A2E00">
            <w:pPr>
              <w:contextualSpacing/>
              <w:rPr>
                <w:rFonts w:eastAsia="Arial"/>
              </w:rPr>
            </w:pPr>
            <w:r w:rsidRPr="00DA6949">
              <w:rPr>
                <w:noProof/>
              </w:rPr>
              <w:drawing>
                <wp:inline distT="0" distB="0" distL="0" distR="0" wp14:anchorId="7F87CBEA" wp14:editId="68C2B307">
                  <wp:extent cx="3156585" cy="2584450"/>
                  <wp:effectExtent l="0" t="0" r="5715" b="635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56585" cy="2584450"/>
                          </a:xfrm>
                          <a:prstGeom prst="rect">
                            <a:avLst/>
                          </a:prstGeom>
                          <a:noFill/>
                          <a:ln>
                            <a:noFill/>
                          </a:ln>
                        </pic:spPr>
                      </pic:pic>
                    </a:graphicData>
                  </a:graphic>
                </wp:inline>
              </w:drawing>
            </w:r>
            <w:r w:rsidR="008A2E00" w:rsidRPr="008A2E00">
              <w:br/>
            </w:r>
          </w:p>
        </w:tc>
        <w:tc>
          <w:tcPr>
            <w:tcW w:w="4657" w:type="dxa"/>
            <w:gridSpan w:val="2"/>
            <w:tcBorders>
              <w:top w:val="single" w:sz="4" w:space="0" w:color="auto"/>
            </w:tcBorders>
            <w:tcMar>
              <w:left w:w="284" w:type="dxa"/>
            </w:tcMar>
          </w:tcPr>
          <w:p w14:paraId="18BD4CC7" w14:textId="18CCF07A" w:rsidR="0065447B" w:rsidRPr="0065447B" w:rsidRDefault="0065447B" w:rsidP="0065447B">
            <w:pPr>
              <w:rPr>
                <w:bCs/>
              </w:rPr>
            </w:pPr>
            <w:r w:rsidRPr="0065447B">
              <w:rPr>
                <w:b/>
                <w:bCs/>
              </w:rPr>
              <w:t>Obseg cestnega blagovnega prometa se je v drugem četrtletju 2022 precej</w:t>
            </w:r>
            <w:r>
              <w:rPr>
                <w:b/>
                <w:bCs/>
              </w:rPr>
              <w:t xml:space="preserve"> </w:t>
            </w:r>
            <w:r w:rsidRPr="0065447B">
              <w:rPr>
                <w:b/>
                <w:bCs/>
              </w:rPr>
              <w:t xml:space="preserve">znižal, železniški je stagniral. </w:t>
            </w:r>
            <w:r w:rsidRPr="0065447B">
              <w:t>Obseg cestnih prevozov slovenskih prevoznikov se je medčetrtletno močno znižal in je bil v primerjavi z enakim četrtletjem leta 2019 le še 2 % višji (prevoz po tujini nižji za 10 %, drugi cestni prevozi višji za 13 %). Veliko medčetrtletno znižanje v drugem četrtletju je bilo sicer bolj povezano z znižanjem obsega prevozov, ki vsaj delno potekajo po Sloveniji (izvoz, uvoz in notranji prevoz skupaj). Vseeno pa delež prevoza slovenskih prevoznikov po tujini v vseh prevozih ostaja precej nižji kot v enakem obdobju pred epidemijo (znižanje s 50 % na 44 %), medtem ko se delež tujih tovornih vozil na slovenskih avtocestah (</w:t>
            </w:r>
            <w:r w:rsidRPr="002551D9">
              <w:t xml:space="preserve">po podatkih </w:t>
            </w:r>
            <w:r w:rsidR="002551D9" w:rsidRPr="002551D9">
              <w:t>DARS</w:t>
            </w:r>
            <w:r w:rsidRPr="0065447B">
              <w:t xml:space="preserve">) ni opazneje spremenil. Železniški prevoz blaga, ki se je zniževal že pred epidemijo, je bil glede na enako četrtletje v letu 2019 za 2 % nižji. </w:t>
            </w:r>
          </w:p>
          <w:p w14:paraId="1833B031" w14:textId="0D3B756E" w:rsidR="008A2E00" w:rsidRPr="008A2E00" w:rsidRDefault="008A2E00" w:rsidP="008A2E00"/>
        </w:tc>
      </w:tr>
    </w:tbl>
    <w:p w14:paraId="5B3734C7" w14:textId="77777777" w:rsidR="00296BEC" w:rsidRDefault="00296BEC" w:rsidP="00363E63">
      <w:pPr>
        <w:tabs>
          <w:tab w:val="left" w:pos="580"/>
        </w:tabs>
      </w:pPr>
    </w:p>
    <w:p w14:paraId="6FF0AB2E" w14:textId="77777777" w:rsidR="005B4C57" w:rsidRDefault="005B4C57" w:rsidP="00363E63">
      <w:pPr>
        <w:tabs>
          <w:tab w:val="left" w:pos="580"/>
        </w:tabs>
      </w:pPr>
    </w:p>
    <w:p w14:paraId="22475C0D" w14:textId="77777777" w:rsidR="00FE7254" w:rsidRPr="00FE7254" w:rsidRDefault="00FE7254" w:rsidP="00FE7254">
      <w:pPr>
        <w:sectPr w:rsidR="00FE7254" w:rsidRPr="00FE7254" w:rsidSect="00363E63">
          <w:footerReference w:type="default" r:id="rId14"/>
          <w:headerReference w:type="first" r:id="rId15"/>
          <w:footerReference w:type="first" r:id="rId16"/>
          <w:type w:val="continuous"/>
          <w:pgSz w:w="11906" w:h="16838"/>
          <w:pgMar w:top="1134" w:right="1134" w:bottom="1021" w:left="1134" w:header="709" w:footer="397" w:gutter="0"/>
          <w:cols w:space="708"/>
          <w:titlePg/>
          <w:docGrid w:linePitch="360"/>
        </w:sectPr>
      </w:pPr>
    </w:p>
    <w:p w14:paraId="26A312A6" w14:textId="796E4688" w:rsidR="002E69B6" w:rsidRPr="00887D7E" w:rsidRDefault="00A72977" w:rsidP="00C26C8D">
      <w:pPr>
        <w:tabs>
          <w:tab w:val="left" w:pos="580"/>
        </w:tabs>
      </w:pPr>
      <w:r w:rsidRPr="00A72977">
        <w:rPr>
          <w:noProof/>
        </w:rPr>
        <w:lastRenderedPageBreak/>
        <w:drawing>
          <wp:inline distT="0" distB="0" distL="0" distR="0" wp14:anchorId="33374436" wp14:editId="5573DDD0">
            <wp:extent cx="6120130" cy="9025815"/>
            <wp:effectExtent l="0" t="0" r="0" b="4445"/>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9025815"/>
                    </a:xfrm>
                    <a:prstGeom prst="rect">
                      <a:avLst/>
                    </a:prstGeom>
                    <a:noFill/>
                    <a:ln>
                      <a:noFill/>
                    </a:ln>
                  </pic:spPr>
                </pic:pic>
              </a:graphicData>
            </a:graphic>
          </wp:inline>
        </w:drawing>
      </w:r>
    </w:p>
    <w:sectPr w:rsidR="002E69B6" w:rsidRPr="00887D7E" w:rsidSect="00363E63">
      <w:headerReference w:type="default" r:id="rId18"/>
      <w:footerReference w:type="default" r:id="rId19"/>
      <w:pgSz w:w="11906" w:h="16838"/>
      <w:pgMar w:top="1134" w:right="1134" w:bottom="1021" w:left="1134" w:header="709" w:footer="39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CAA66C4" w16cex:dateUtc="2022-10-14T12:21:00Z"/>
  <w16cex:commentExtensible w16cex:durableId="67C4BFB6" w16cex:dateUtc="2022-10-17T09:15:59.80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00B0C" w14:textId="77777777" w:rsidR="009F2044" w:rsidRDefault="009F2044" w:rsidP="0063497B">
      <w:pPr>
        <w:spacing w:line="240" w:lineRule="auto"/>
      </w:pPr>
      <w:r>
        <w:separator/>
      </w:r>
    </w:p>
  </w:endnote>
  <w:endnote w:type="continuationSeparator" w:id="0">
    <w:p w14:paraId="630443E8" w14:textId="77777777" w:rsidR="009F2044" w:rsidRDefault="009F2044" w:rsidP="0063497B">
      <w:pPr>
        <w:spacing w:line="240" w:lineRule="auto"/>
      </w:pPr>
      <w:r>
        <w:continuationSeparator/>
      </w:r>
    </w:p>
  </w:endnote>
  <w:endnote w:type="continuationNotice" w:id="1">
    <w:p w14:paraId="726FC094" w14:textId="77777777" w:rsidR="009F2044" w:rsidRDefault="009F20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242D" w14:textId="77777777" w:rsidR="00E34231" w:rsidRPr="00363E63" w:rsidRDefault="00E34231" w:rsidP="00363E63">
    <w:pPr>
      <w:pStyle w:val="Naslov31"/>
      <w:tabs>
        <w:tab w:val="right" w:pos="9638"/>
      </w:tabs>
      <w:jc w:val="left"/>
      <w:rPr>
        <w:b w:val="0"/>
        <w:sz w:val="18"/>
        <w:szCs w:val="18"/>
      </w:rPr>
    </w:pPr>
    <w:r w:rsidRPr="00120162">
      <w:rPr>
        <w:sz w:val="18"/>
        <w:szCs w:val="18"/>
      </w:rPr>
      <w:t>Dodatne informacije:</w:t>
    </w:r>
    <w:r w:rsidRPr="00120162">
      <w:rPr>
        <w:rStyle w:val="Naslov3Char"/>
        <w:b/>
        <w:sz w:val="18"/>
        <w:szCs w:val="18"/>
      </w:rPr>
      <w:t xml:space="preserve"> </w:t>
    </w:r>
    <w:r w:rsidRPr="00120162">
      <w:rPr>
        <w:b w:val="0"/>
        <w:sz w:val="18"/>
        <w:szCs w:val="18"/>
      </w:rPr>
      <w:t xml:space="preserve">telefon: 01 478 10 04, elektronski naslov: </w:t>
    </w:r>
    <w:hyperlink r:id="rId1" w:history="1">
      <w:r w:rsidRPr="00120162">
        <w:rPr>
          <w:rStyle w:val="Hyperlink"/>
          <w:b w:val="0"/>
          <w:bCs/>
          <w:color w:val="auto"/>
          <w:sz w:val="18"/>
          <w:szCs w:val="18"/>
          <w:u w:val="none"/>
        </w:rPr>
        <w:t>polona.osrajnik@gov.si</w:t>
      </w:r>
    </w:hyperlink>
    <w:r w:rsidRPr="00363E63">
      <w:rPr>
        <w:b w:val="0"/>
        <w:sz w:val="18"/>
        <w:szCs w:val="18"/>
      </w:rPr>
      <w:tab/>
    </w:r>
    <w:r w:rsidRPr="00363E63">
      <w:rPr>
        <w:sz w:val="18"/>
        <w:szCs w:val="18"/>
      </w:rPr>
      <w:t xml:space="preserve"> </w:t>
    </w:r>
    <w:sdt>
      <w:sdtPr>
        <w:rPr>
          <w:sz w:val="18"/>
          <w:szCs w:val="18"/>
        </w:rPr>
        <w:id w:val="-652685202"/>
        <w:docPartObj>
          <w:docPartGallery w:val="Page Numbers (Bottom of Page)"/>
          <w:docPartUnique/>
        </w:docPartObj>
      </w:sdtPr>
      <w:sdtEndPr/>
      <w:sdtContent>
        <w:r w:rsidRPr="00363E63">
          <w:rPr>
            <w:sz w:val="18"/>
            <w:szCs w:val="18"/>
          </w:rPr>
          <w:fldChar w:fldCharType="begin"/>
        </w:r>
        <w:r w:rsidRPr="00363E63">
          <w:rPr>
            <w:sz w:val="18"/>
            <w:szCs w:val="18"/>
          </w:rPr>
          <w:instrText>PAGE   \* MERGEFORMAT</w:instrText>
        </w:r>
        <w:r w:rsidRPr="00363E63">
          <w:rPr>
            <w:sz w:val="18"/>
            <w:szCs w:val="18"/>
          </w:rPr>
          <w:fldChar w:fldCharType="separate"/>
        </w:r>
        <w:r>
          <w:rPr>
            <w:sz w:val="18"/>
            <w:szCs w:val="18"/>
          </w:rPr>
          <w:t>1</w:t>
        </w:r>
        <w:r w:rsidRPr="00363E63">
          <w:rPr>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9913" w14:textId="77777777" w:rsidR="00E34231" w:rsidRPr="00363E63" w:rsidRDefault="00E34231" w:rsidP="00363E63">
    <w:pPr>
      <w:pStyle w:val="Naslov31"/>
      <w:tabs>
        <w:tab w:val="right" w:pos="9638"/>
      </w:tabs>
      <w:jc w:val="left"/>
      <w:rPr>
        <w:b w:val="0"/>
        <w:sz w:val="18"/>
        <w:szCs w:val="18"/>
      </w:rPr>
    </w:pPr>
    <w:r w:rsidRPr="00120162">
      <w:rPr>
        <w:sz w:val="18"/>
        <w:szCs w:val="18"/>
      </w:rPr>
      <w:t>Dodatne informacije:</w:t>
    </w:r>
    <w:r w:rsidRPr="00120162">
      <w:rPr>
        <w:rStyle w:val="Naslov3Char"/>
        <w:b/>
        <w:sz w:val="18"/>
        <w:szCs w:val="18"/>
      </w:rPr>
      <w:t xml:space="preserve"> </w:t>
    </w:r>
    <w:r w:rsidRPr="00120162">
      <w:rPr>
        <w:b w:val="0"/>
        <w:sz w:val="18"/>
        <w:szCs w:val="18"/>
      </w:rPr>
      <w:t xml:space="preserve">telefon: 01 478 10 04, elektronski naslov: </w:t>
    </w:r>
    <w:hyperlink r:id="rId1" w:history="1">
      <w:r w:rsidRPr="00120162">
        <w:rPr>
          <w:rStyle w:val="Hyperlink"/>
          <w:b w:val="0"/>
          <w:bCs/>
          <w:color w:val="auto"/>
          <w:sz w:val="18"/>
          <w:szCs w:val="18"/>
          <w:u w:val="none"/>
        </w:rPr>
        <w:t>polona.osrajnik@gov.si</w:t>
      </w:r>
    </w:hyperlink>
    <w:r w:rsidRPr="00363E63">
      <w:rPr>
        <w:b w:val="0"/>
        <w:sz w:val="18"/>
        <w:szCs w:val="18"/>
      </w:rPr>
      <w:tab/>
    </w:r>
    <w:r w:rsidRPr="00363E63">
      <w:rPr>
        <w:sz w:val="18"/>
        <w:szCs w:val="18"/>
      </w:rPr>
      <w:t xml:space="preserve"> </w:t>
    </w:r>
    <w:sdt>
      <w:sdtPr>
        <w:rPr>
          <w:sz w:val="18"/>
          <w:szCs w:val="18"/>
        </w:rPr>
        <w:id w:val="-89402759"/>
        <w:docPartObj>
          <w:docPartGallery w:val="Page Numbers (Bottom of Page)"/>
          <w:docPartUnique/>
        </w:docPartObj>
      </w:sdtPr>
      <w:sdtEndPr/>
      <w:sdtContent>
        <w:r w:rsidRPr="00363E63">
          <w:rPr>
            <w:sz w:val="18"/>
            <w:szCs w:val="18"/>
          </w:rPr>
          <w:fldChar w:fldCharType="begin"/>
        </w:r>
        <w:r w:rsidRPr="00363E63">
          <w:rPr>
            <w:sz w:val="18"/>
            <w:szCs w:val="18"/>
          </w:rPr>
          <w:instrText>PAGE   \* MERGEFORMAT</w:instrText>
        </w:r>
        <w:r w:rsidRPr="00363E63">
          <w:rPr>
            <w:sz w:val="18"/>
            <w:szCs w:val="18"/>
          </w:rPr>
          <w:fldChar w:fldCharType="separate"/>
        </w:r>
        <w:r w:rsidRPr="00363E63">
          <w:rPr>
            <w:sz w:val="18"/>
            <w:szCs w:val="18"/>
          </w:rPr>
          <w:t>1</w:t>
        </w:r>
        <w:r w:rsidRPr="00363E63">
          <w:rPr>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BB8D" w14:textId="77777777" w:rsidR="00E34231" w:rsidRPr="00C26C8D" w:rsidRDefault="00E34231" w:rsidP="00C26C8D">
    <w:pPr>
      <w:pStyle w:val="Naslov31"/>
      <w:tabs>
        <w:tab w:val="right" w:pos="9638"/>
      </w:tabs>
      <w:jc w:val="left"/>
      <w:rPr>
        <w:b w:val="0"/>
        <w:sz w:val="18"/>
        <w:szCs w:val="18"/>
      </w:rPr>
    </w:pPr>
    <w:r w:rsidRPr="00C26C8D">
      <w:rPr>
        <w:b w:val="0"/>
        <w:sz w:val="18"/>
        <w:szCs w:val="18"/>
      </w:rPr>
      <w:t xml:space="preserve">Za bralnike zaslona dostopna oblika tabel se nahaja na spletni strani UMAR, med prilogami ob aktualnih grafih tedna </w:t>
    </w:r>
    <w:r>
      <w:rPr>
        <w:b w:val="0"/>
        <w:sz w:val="18"/>
        <w:szCs w:val="18"/>
      </w:rPr>
      <w:br/>
    </w:r>
    <w:r w:rsidRPr="00C26C8D">
      <w:rPr>
        <w:b w:val="0"/>
        <w:sz w:val="18"/>
        <w:szCs w:val="18"/>
      </w:rPr>
      <w:t>(Aktualni podatki v Sloveniji).</w:t>
    </w:r>
  </w:p>
  <w:p w14:paraId="67C0D3BB" w14:textId="77777777" w:rsidR="00E34231" w:rsidRPr="00C26C8D" w:rsidRDefault="00E34231" w:rsidP="00C26C8D">
    <w:pPr>
      <w:pStyle w:val="Naslov31"/>
      <w:tabs>
        <w:tab w:val="right" w:pos="9638"/>
      </w:tabs>
      <w:jc w:val="left"/>
      <w:rPr>
        <w:b w:val="0"/>
        <w:sz w:val="18"/>
        <w:szCs w:val="18"/>
      </w:rPr>
    </w:pPr>
  </w:p>
  <w:p w14:paraId="6B87A005" w14:textId="77777777" w:rsidR="00E34231" w:rsidRPr="00363E63" w:rsidRDefault="00E34231" w:rsidP="00C26C8D">
    <w:pPr>
      <w:pStyle w:val="Naslov31"/>
      <w:tabs>
        <w:tab w:val="right" w:pos="9638"/>
      </w:tabs>
      <w:jc w:val="left"/>
      <w:rPr>
        <w:b w:val="0"/>
        <w:sz w:val="18"/>
        <w:szCs w:val="18"/>
      </w:rPr>
    </w:pPr>
    <w:r w:rsidRPr="00C26C8D">
      <w:rPr>
        <w:sz w:val="18"/>
        <w:szCs w:val="18"/>
      </w:rPr>
      <w:t>Dodatne informacije:</w:t>
    </w:r>
    <w:r w:rsidRPr="00C26C8D">
      <w:rPr>
        <w:b w:val="0"/>
        <w:sz w:val="18"/>
        <w:szCs w:val="18"/>
      </w:rPr>
      <w:t xml:space="preserve"> telefon: 01 478 10 04, elektronski naslov: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FB539" w14:textId="77777777" w:rsidR="009F2044" w:rsidRDefault="009F2044" w:rsidP="0063497B">
      <w:pPr>
        <w:spacing w:line="240" w:lineRule="auto"/>
      </w:pPr>
      <w:r>
        <w:separator/>
      </w:r>
    </w:p>
  </w:footnote>
  <w:footnote w:type="continuationSeparator" w:id="0">
    <w:p w14:paraId="523EF702" w14:textId="77777777" w:rsidR="009F2044" w:rsidRDefault="009F2044" w:rsidP="0063497B">
      <w:pPr>
        <w:spacing w:line="240" w:lineRule="auto"/>
      </w:pPr>
      <w:r>
        <w:continuationSeparator/>
      </w:r>
    </w:p>
  </w:footnote>
  <w:footnote w:type="continuationNotice" w:id="1">
    <w:p w14:paraId="3C359F64" w14:textId="77777777" w:rsidR="009F2044" w:rsidRDefault="009F2044">
      <w:pPr>
        <w:spacing w:line="240" w:lineRule="auto"/>
      </w:pPr>
    </w:p>
  </w:footnote>
  <w:footnote w:id="2">
    <w:p w14:paraId="0F64A38F" w14:textId="77777777" w:rsidR="00E34231" w:rsidRDefault="00E34231" w:rsidP="00D33C9A">
      <w:pPr>
        <w:pStyle w:val="FootnoteText"/>
      </w:pPr>
      <w:r>
        <w:rPr>
          <w:rStyle w:val="FootnoteReference"/>
        </w:rPr>
        <w:footnoteRef/>
      </w:r>
      <w:r>
        <w:t xml:space="preserve"> Uredba Sveta (EU) 2022/1369 z dne 5. avgusta 2022 o usklajenih ukrepih za zmanjšanje povpraševanja po plinu.</w:t>
      </w:r>
    </w:p>
  </w:footnote>
  <w:footnote w:id="3">
    <w:p w14:paraId="6113716D" w14:textId="77777777" w:rsidR="00E34231" w:rsidRDefault="00E34231" w:rsidP="00C96FE7">
      <w:pPr>
        <w:pStyle w:val="FootnoteText"/>
      </w:pPr>
      <w:r>
        <w:rPr>
          <w:rStyle w:val="FootnoteReference"/>
        </w:rPr>
        <w:footnoteRef/>
      </w:r>
      <w:r>
        <w:t xml:space="preserve"> </w:t>
      </w:r>
      <w:r w:rsidRPr="00850F16">
        <w:rPr>
          <w:szCs w:val="16"/>
        </w:rPr>
        <w:t xml:space="preserve">V </w:t>
      </w:r>
      <w:r w:rsidRPr="004D7FE8">
        <w:rPr>
          <w:szCs w:val="16"/>
        </w:rPr>
        <w:t>tej odjemni skupini so najbolj pogosta merilna mesta trgovine in storitvene dejavnosti, sem spadajo tudi skladišča, kmetijska dejavnost, ipd., lahko pa gre tudi za večja proizvodna podjetja, ki na nekaterih merilnih mestih ne potrebujejo velike priključne moči.</w:t>
      </w:r>
    </w:p>
  </w:footnote>
  <w:footnote w:id="4">
    <w:p w14:paraId="501D65B2" w14:textId="692783DA" w:rsidR="00E34231" w:rsidRDefault="00E34231">
      <w:pPr>
        <w:pStyle w:val="FootnoteText"/>
      </w:pPr>
      <w:r>
        <w:rPr>
          <w:rStyle w:val="FootnoteReference"/>
        </w:rPr>
        <w:footnoteRef/>
      </w:r>
      <w:r>
        <w:t xml:space="preserve"> Podatki za avgust še niso na voljo.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A66C" w14:textId="40B08085" w:rsidR="00E34231" w:rsidRDefault="00E34231" w:rsidP="00652795">
    <w:pPr>
      <w:jc w:val="right"/>
    </w:pPr>
    <w:r w:rsidRPr="0029405F">
      <w:rPr>
        <w:noProof/>
      </w:rPr>
      <w:drawing>
        <wp:anchor distT="0" distB="0" distL="114300" distR="114300" simplePos="0" relativeHeight="251658240" behindDoc="0" locked="0" layoutInCell="1" allowOverlap="1" wp14:anchorId="254C5F65" wp14:editId="7DF46F31">
          <wp:simplePos x="0" y="0"/>
          <wp:positionH relativeFrom="column">
            <wp:posOffset>-361950</wp:posOffset>
          </wp:positionH>
          <wp:positionV relativeFrom="paragraph">
            <wp:posOffset>62865</wp:posOffset>
          </wp:positionV>
          <wp:extent cx="1259840" cy="1002030"/>
          <wp:effectExtent l="0" t="0" r="0" b="7620"/>
          <wp:wrapTopAndBottom/>
          <wp:docPr id="17" name="Picture 17" descr="UM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840" cy="1002030"/>
                  </a:xfrm>
                  <a:prstGeom prst="rect">
                    <a:avLst/>
                  </a:prstGeom>
                </pic:spPr>
              </pic:pic>
            </a:graphicData>
          </a:graphic>
          <wp14:sizeRelH relativeFrom="margin">
            <wp14:pctWidth>0</wp14:pctWidth>
          </wp14:sizeRelH>
          <wp14:sizeRelV relativeFrom="margin">
            <wp14:pctHeight>0</wp14:pctHeight>
          </wp14:sizeRelV>
        </wp:anchor>
      </w:drawing>
    </w:r>
    <w:r>
      <w:t>17. oktober 2022</w:t>
    </w:r>
  </w:p>
  <w:p w14:paraId="4BCD6FCD" w14:textId="77777777" w:rsidR="00E34231" w:rsidRDefault="00E34231" w:rsidP="00FE7254">
    <w:pPr>
      <w:jc w:val="right"/>
    </w:pPr>
  </w:p>
  <w:p w14:paraId="2346E65D" w14:textId="77777777" w:rsidR="00E34231" w:rsidRDefault="00E34231" w:rsidP="00FE7254">
    <w:pPr>
      <w:jc w:val="right"/>
    </w:pPr>
  </w:p>
  <w:p w14:paraId="72003DEC" w14:textId="77777777" w:rsidR="00E34231" w:rsidRDefault="00E34231"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F943" w14:textId="77777777" w:rsidR="00E34231" w:rsidRPr="00C26C8D" w:rsidRDefault="00E34231" w:rsidP="00C26C8D">
    <w:pPr>
      <w:pStyle w:val="Header"/>
      <w:rPr>
        <w:b/>
      </w:rPr>
    </w:pPr>
    <w:r w:rsidRPr="00C26C8D">
      <w:rPr>
        <w:b/>
      </w:rPr>
      <w:t>Tabela: izbrani makroekonomski kazalci za Slovenijo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pt;height:19.5pt;visibility:visible;mso-wrap-style:square" o:bullet="t">
        <v:imagedata r:id="rId1" o:title=""/>
      </v:shape>
    </w:pict>
  </w:numPicBullet>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PicBulletId w:val="0"/>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170"/>
  <w:hyphenationZone w:val="425"/>
  <w:drawingGridHorizontalSpacing w:val="4933"/>
  <w:drawingGridVerticalSpacing w:val="3118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1002"/>
    <w:rsid w:val="00005E4B"/>
    <w:rsid w:val="000221B6"/>
    <w:rsid w:val="00024EF0"/>
    <w:rsid w:val="00033E03"/>
    <w:rsid w:val="00041021"/>
    <w:rsid w:val="000420AB"/>
    <w:rsid w:val="0004410D"/>
    <w:rsid w:val="00051F29"/>
    <w:rsid w:val="0005322C"/>
    <w:rsid w:val="00055BD4"/>
    <w:rsid w:val="00061F03"/>
    <w:rsid w:val="00062E0D"/>
    <w:rsid w:val="00070313"/>
    <w:rsid w:val="000703C7"/>
    <w:rsid w:val="00070926"/>
    <w:rsid w:val="00070B6E"/>
    <w:rsid w:val="00073C2B"/>
    <w:rsid w:val="00077F13"/>
    <w:rsid w:val="000802F5"/>
    <w:rsid w:val="00083B7F"/>
    <w:rsid w:val="00087E6A"/>
    <w:rsid w:val="00092592"/>
    <w:rsid w:val="00096101"/>
    <w:rsid w:val="000A5A42"/>
    <w:rsid w:val="000A7BDC"/>
    <w:rsid w:val="000B5B96"/>
    <w:rsid w:val="000C5DFC"/>
    <w:rsid w:val="000D3F8B"/>
    <w:rsid w:val="000D7845"/>
    <w:rsid w:val="000E33E8"/>
    <w:rsid w:val="000F0AAF"/>
    <w:rsid w:val="000F5315"/>
    <w:rsid w:val="00110B3C"/>
    <w:rsid w:val="00112B3E"/>
    <w:rsid w:val="00115501"/>
    <w:rsid w:val="00115E8D"/>
    <w:rsid w:val="00116668"/>
    <w:rsid w:val="00117527"/>
    <w:rsid w:val="00120162"/>
    <w:rsid w:val="00123D52"/>
    <w:rsid w:val="001330BB"/>
    <w:rsid w:val="00133E20"/>
    <w:rsid w:val="00150D0F"/>
    <w:rsid w:val="001516FB"/>
    <w:rsid w:val="00155DA6"/>
    <w:rsid w:val="00162E99"/>
    <w:rsid w:val="0017547A"/>
    <w:rsid w:val="00177E39"/>
    <w:rsid w:val="001828E9"/>
    <w:rsid w:val="001847BE"/>
    <w:rsid w:val="0019138D"/>
    <w:rsid w:val="00192B58"/>
    <w:rsid w:val="00192D90"/>
    <w:rsid w:val="001A0B7D"/>
    <w:rsid w:val="001A0C6A"/>
    <w:rsid w:val="001A0C98"/>
    <w:rsid w:val="001A2FFC"/>
    <w:rsid w:val="001B38A4"/>
    <w:rsid w:val="001B475E"/>
    <w:rsid w:val="001B6AE7"/>
    <w:rsid w:val="001C03A0"/>
    <w:rsid w:val="001C3E55"/>
    <w:rsid w:val="001D1DF5"/>
    <w:rsid w:val="001D6793"/>
    <w:rsid w:val="001E3587"/>
    <w:rsid w:val="001E3956"/>
    <w:rsid w:val="001E3A63"/>
    <w:rsid w:val="001E66B1"/>
    <w:rsid w:val="001F51CD"/>
    <w:rsid w:val="001F5764"/>
    <w:rsid w:val="00201012"/>
    <w:rsid w:val="0020683D"/>
    <w:rsid w:val="0022644C"/>
    <w:rsid w:val="00226C04"/>
    <w:rsid w:val="002347CB"/>
    <w:rsid w:val="00236656"/>
    <w:rsid w:val="00237C97"/>
    <w:rsid w:val="00242C71"/>
    <w:rsid w:val="00243593"/>
    <w:rsid w:val="0024378B"/>
    <w:rsid w:val="002461D2"/>
    <w:rsid w:val="00246CF1"/>
    <w:rsid w:val="00253AF0"/>
    <w:rsid w:val="002551D9"/>
    <w:rsid w:val="00255F95"/>
    <w:rsid w:val="0026509A"/>
    <w:rsid w:val="00271747"/>
    <w:rsid w:val="00274D3F"/>
    <w:rsid w:val="0028665C"/>
    <w:rsid w:val="0029405F"/>
    <w:rsid w:val="00296BEC"/>
    <w:rsid w:val="002A62E6"/>
    <w:rsid w:val="002B058F"/>
    <w:rsid w:val="002B4319"/>
    <w:rsid w:val="002B4C3A"/>
    <w:rsid w:val="002B5361"/>
    <w:rsid w:val="002B617D"/>
    <w:rsid w:val="002B67C9"/>
    <w:rsid w:val="002C5AFE"/>
    <w:rsid w:val="002D46CA"/>
    <w:rsid w:val="002D46EF"/>
    <w:rsid w:val="002E69B6"/>
    <w:rsid w:val="002E6FAD"/>
    <w:rsid w:val="002F00BB"/>
    <w:rsid w:val="002F45CB"/>
    <w:rsid w:val="00305883"/>
    <w:rsid w:val="00306767"/>
    <w:rsid w:val="00312D09"/>
    <w:rsid w:val="003169F9"/>
    <w:rsid w:val="00325655"/>
    <w:rsid w:val="0032707E"/>
    <w:rsid w:val="003305D2"/>
    <w:rsid w:val="00331DD6"/>
    <w:rsid w:val="00333B2F"/>
    <w:rsid w:val="0034385F"/>
    <w:rsid w:val="0034588C"/>
    <w:rsid w:val="00350A64"/>
    <w:rsid w:val="003524EB"/>
    <w:rsid w:val="00363E63"/>
    <w:rsid w:val="003640E5"/>
    <w:rsid w:val="00364A8F"/>
    <w:rsid w:val="00366D68"/>
    <w:rsid w:val="00381F22"/>
    <w:rsid w:val="003831A6"/>
    <w:rsid w:val="00386478"/>
    <w:rsid w:val="00386C31"/>
    <w:rsid w:val="00390947"/>
    <w:rsid w:val="003974F8"/>
    <w:rsid w:val="003A3815"/>
    <w:rsid w:val="003A49D8"/>
    <w:rsid w:val="003B14A1"/>
    <w:rsid w:val="003B6153"/>
    <w:rsid w:val="003B76CF"/>
    <w:rsid w:val="003B7B25"/>
    <w:rsid w:val="003C1005"/>
    <w:rsid w:val="003C3C52"/>
    <w:rsid w:val="003C614E"/>
    <w:rsid w:val="003C6951"/>
    <w:rsid w:val="003C6CBF"/>
    <w:rsid w:val="003D0545"/>
    <w:rsid w:val="003D0FA7"/>
    <w:rsid w:val="003D58DF"/>
    <w:rsid w:val="003E0230"/>
    <w:rsid w:val="003E5ADA"/>
    <w:rsid w:val="003F0B40"/>
    <w:rsid w:val="003F4C1B"/>
    <w:rsid w:val="004041D4"/>
    <w:rsid w:val="0040719E"/>
    <w:rsid w:val="004079CD"/>
    <w:rsid w:val="004123A3"/>
    <w:rsid w:val="0042066F"/>
    <w:rsid w:val="004236FF"/>
    <w:rsid w:val="004255B4"/>
    <w:rsid w:val="004271E0"/>
    <w:rsid w:val="00431EDD"/>
    <w:rsid w:val="004368FB"/>
    <w:rsid w:val="0044650F"/>
    <w:rsid w:val="00452589"/>
    <w:rsid w:val="00452804"/>
    <w:rsid w:val="00454E68"/>
    <w:rsid w:val="00461BCB"/>
    <w:rsid w:val="00462BA6"/>
    <w:rsid w:val="00464D01"/>
    <w:rsid w:val="00467144"/>
    <w:rsid w:val="00467D2C"/>
    <w:rsid w:val="004729A1"/>
    <w:rsid w:val="0047514E"/>
    <w:rsid w:val="00477274"/>
    <w:rsid w:val="0048123F"/>
    <w:rsid w:val="004970E5"/>
    <w:rsid w:val="004A050C"/>
    <w:rsid w:val="004A096D"/>
    <w:rsid w:val="004A37A6"/>
    <w:rsid w:val="004A574A"/>
    <w:rsid w:val="004A6A8D"/>
    <w:rsid w:val="004B235F"/>
    <w:rsid w:val="004B49B6"/>
    <w:rsid w:val="004C278D"/>
    <w:rsid w:val="004C2835"/>
    <w:rsid w:val="004C30D1"/>
    <w:rsid w:val="004C568A"/>
    <w:rsid w:val="004D0C06"/>
    <w:rsid w:val="004D1C88"/>
    <w:rsid w:val="004D2D1C"/>
    <w:rsid w:val="004D63EF"/>
    <w:rsid w:val="004E1AF2"/>
    <w:rsid w:val="004E2181"/>
    <w:rsid w:val="004E645E"/>
    <w:rsid w:val="004F72E3"/>
    <w:rsid w:val="00505E2E"/>
    <w:rsid w:val="00506226"/>
    <w:rsid w:val="00506E6D"/>
    <w:rsid w:val="00520115"/>
    <w:rsid w:val="005224F3"/>
    <w:rsid w:val="0052310C"/>
    <w:rsid w:val="0052505D"/>
    <w:rsid w:val="00534457"/>
    <w:rsid w:val="005468A2"/>
    <w:rsid w:val="00546DBF"/>
    <w:rsid w:val="0055149E"/>
    <w:rsid w:val="00555A80"/>
    <w:rsid w:val="00561C9A"/>
    <w:rsid w:val="0056680E"/>
    <w:rsid w:val="00573CF2"/>
    <w:rsid w:val="0058006D"/>
    <w:rsid w:val="0058052D"/>
    <w:rsid w:val="005806D5"/>
    <w:rsid w:val="005A2EF5"/>
    <w:rsid w:val="005A70C8"/>
    <w:rsid w:val="005B0C7D"/>
    <w:rsid w:val="005B0FEE"/>
    <w:rsid w:val="005B123A"/>
    <w:rsid w:val="005B3B42"/>
    <w:rsid w:val="005B4C57"/>
    <w:rsid w:val="005B6FC5"/>
    <w:rsid w:val="005C3B6F"/>
    <w:rsid w:val="005C489E"/>
    <w:rsid w:val="005C4D2E"/>
    <w:rsid w:val="005D285A"/>
    <w:rsid w:val="005D3726"/>
    <w:rsid w:val="005D43F6"/>
    <w:rsid w:val="005E06AC"/>
    <w:rsid w:val="005E1CEB"/>
    <w:rsid w:val="005F2004"/>
    <w:rsid w:val="005F2D11"/>
    <w:rsid w:val="0060091A"/>
    <w:rsid w:val="00600E28"/>
    <w:rsid w:val="00611DE7"/>
    <w:rsid w:val="00612374"/>
    <w:rsid w:val="00613F54"/>
    <w:rsid w:val="006148B7"/>
    <w:rsid w:val="00614A02"/>
    <w:rsid w:val="006269CE"/>
    <w:rsid w:val="00632222"/>
    <w:rsid w:val="0063497B"/>
    <w:rsid w:val="00637D5B"/>
    <w:rsid w:val="006421BC"/>
    <w:rsid w:val="00642468"/>
    <w:rsid w:val="00650921"/>
    <w:rsid w:val="00652795"/>
    <w:rsid w:val="0065447B"/>
    <w:rsid w:val="00654FA7"/>
    <w:rsid w:val="00662E1E"/>
    <w:rsid w:val="0066322D"/>
    <w:rsid w:val="006657F7"/>
    <w:rsid w:val="00671853"/>
    <w:rsid w:val="006875F1"/>
    <w:rsid w:val="006965FC"/>
    <w:rsid w:val="006979EF"/>
    <w:rsid w:val="006A15CC"/>
    <w:rsid w:val="006A1ED4"/>
    <w:rsid w:val="006A6820"/>
    <w:rsid w:val="006B46C7"/>
    <w:rsid w:val="006B60A0"/>
    <w:rsid w:val="006B7DA3"/>
    <w:rsid w:val="006C2117"/>
    <w:rsid w:val="006C2B3C"/>
    <w:rsid w:val="006C7DB4"/>
    <w:rsid w:val="006E1C81"/>
    <w:rsid w:val="006E6B3C"/>
    <w:rsid w:val="006F3B53"/>
    <w:rsid w:val="007016EF"/>
    <w:rsid w:val="007027A0"/>
    <w:rsid w:val="00714319"/>
    <w:rsid w:val="007225C9"/>
    <w:rsid w:val="00731B6F"/>
    <w:rsid w:val="00743D91"/>
    <w:rsid w:val="0074452D"/>
    <w:rsid w:val="0074466E"/>
    <w:rsid w:val="00750B0D"/>
    <w:rsid w:val="00751B2A"/>
    <w:rsid w:val="007625A6"/>
    <w:rsid w:val="00766241"/>
    <w:rsid w:val="00771D42"/>
    <w:rsid w:val="00786303"/>
    <w:rsid w:val="0079410F"/>
    <w:rsid w:val="00794A02"/>
    <w:rsid w:val="007971E2"/>
    <w:rsid w:val="007A0B59"/>
    <w:rsid w:val="007A3A82"/>
    <w:rsid w:val="007A414F"/>
    <w:rsid w:val="007A529F"/>
    <w:rsid w:val="007A79D4"/>
    <w:rsid w:val="007B189A"/>
    <w:rsid w:val="007B7110"/>
    <w:rsid w:val="007C1357"/>
    <w:rsid w:val="007C48CF"/>
    <w:rsid w:val="007D0791"/>
    <w:rsid w:val="007D164F"/>
    <w:rsid w:val="007D3896"/>
    <w:rsid w:val="007D4A37"/>
    <w:rsid w:val="007E0D27"/>
    <w:rsid w:val="007E7142"/>
    <w:rsid w:val="007F1307"/>
    <w:rsid w:val="007F6DCB"/>
    <w:rsid w:val="00801D7A"/>
    <w:rsid w:val="0080541B"/>
    <w:rsid w:val="00810F52"/>
    <w:rsid w:val="00812D81"/>
    <w:rsid w:val="00820AB1"/>
    <w:rsid w:val="0083204F"/>
    <w:rsid w:val="008442F2"/>
    <w:rsid w:val="00860582"/>
    <w:rsid w:val="00871425"/>
    <w:rsid w:val="00874615"/>
    <w:rsid w:val="00882BE5"/>
    <w:rsid w:val="00883786"/>
    <w:rsid w:val="00886885"/>
    <w:rsid w:val="00886AD3"/>
    <w:rsid w:val="00887D7E"/>
    <w:rsid w:val="0089259B"/>
    <w:rsid w:val="00896CDC"/>
    <w:rsid w:val="008A0844"/>
    <w:rsid w:val="008A2E00"/>
    <w:rsid w:val="008A3BAE"/>
    <w:rsid w:val="008A60FC"/>
    <w:rsid w:val="008A7049"/>
    <w:rsid w:val="008C04C4"/>
    <w:rsid w:val="008C1693"/>
    <w:rsid w:val="008C32FE"/>
    <w:rsid w:val="008C5025"/>
    <w:rsid w:val="008E245D"/>
    <w:rsid w:val="008F2C7A"/>
    <w:rsid w:val="00902C77"/>
    <w:rsid w:val="00910265"/>
    <w:rsid w:val="009121A2"/>
    <w:rsid w:val="00916FC4"/>
    <w:rsid w:val="0091753E"/>
    <w:rsid w:val="0093604B"/>
    <w:rsid w:val="00937C67"/>
    <w:rsid w:val="00942927"/>
    <w:rsid w:val="009429B9"/>
    <w:rsid w:val="00946C4C"/>
    <w:rsid w:val="00947144"/>
    <w:rsid w:val="0095229A"/>
    <w:rsid w:val="00953473"/>
    <w:rsid w:val="00957C10"/>
    <w:rsid w:val="00957EAF"/>
    <w:rsid w:val="0096009B"/>
    <w:rsid w:val="009740C1"/>
    <w:rsid w:val="0097488C"/>
    <w:rsid w:val="00974CB2"/>
    <w:rsid w:val="009918B9"/>
    <w:rsid w:val="009930B0"/>
    <w:rsid w:val="0099530C"/>
    <w:rsid w:val="009A0978"/>
    <w:rsid w:val="009A1E12"/>
    <w:rsid w:val="009B5B66"/>
    <w:rsid w:val="009C1BE7"/>
    <w:rsid w:val="009C337E"/>
    <w:rsid w:val="009C3E96"/>
    <w:rsid w:val="009D0E1C"/>
    <w:rsid w:val="009D311B"/>
    <w:rsid w:val="009D4435"/>
    <w:rsid w:val="009E4A09"/>
    <w:rsid w:val="009F074F"/>
    <w:rsid w:val="009F100D"/>
    <w:rsid w:val="009F2044"/>
    <w:rsid w:val="00A03639"/>
    <w:rsid w:val="00A072AA"/>
    <w:rsid w:val="00A10058"/>
    <w:rsid w:val="00A107AD"/>
    <w:rsid w:val="00A1134B"/>
    <w:rsid w:val="00A15DA9"/>
    <w:rsid w:val="00A22540"/>
    <w:rsid w:val="00A22817"/>
    <w:rsid w:val="00A2300C"/>
    <w:rsid w:val="00A236E8"/>
    <w:rsid w:val="00A242E2"/>
    <w:rsid w:val="00A30DB1"/>
    <w:rsid w:val="00A35FCE"/>
    <w:rsid w:val="00A42839"/>
    <w:rsid w:val="00A4438D"/>
    <w:rsid w:val="00A46052"/>
    <w:rsid w:val="00A47428"/>
    <w:rsid w:val="00A549BD"/>
    <w:rsid w:val="00A62351"/>
    <w:rsid w:val="00A66260"/>
    <w:rsid w:val="00A703DF"/>
    <w:rsid w:val="00A7050D"/>
    <w:rsid w:val="00A70E52"/>
    <w:rsid w:val="00A72977"/>
    <w:rsid w:val="00A807D0"/>
    <w:rsid w:val="00A8329F"/>
    <w:rsid w:val="00A87E78"/>
    <w:rsid w:val="00A93BFF"/>
    <w:rsid w:val="00A96032"/>
    <w:rsid w:val="00AA0B7E"/>
    <w:rsid w:val="00AA1F25"/>
    <w:rsid w:val="00AB0C65"/>
    <w:rsid w:val="00AB6034"/>
    <w:rsid w:val="00AC328B"/>
    <w:rsid w:val="00AC3B16"/>
    <w:rsid w:val="00AD6118"/>
    <w:rsid w:val="00AE12D8"/>
    <w:rsid w:val="00AE5CA1"/>
    <w:rsid w:val="00AE6F57"/>
    <w:rsid w:val="00AF17FE"/>
    <w:rsid w:val="00AF1FB6"/>
    <w:rsid w:val="00AF3058"/>
    <w:rsid w:val="00AF5265"/>
    <w:rsid w:val="00AF5EE3"/>
    <w:rsid w:val="00AF6CE4"/>
    <w:rsid w:val="00B00E5E"/>
    <w:rsid w:val="00B10FE7"/>
    <w:rsid w:val="00B12AB7"/>
    <w:rsid w:val="00B138A0"/>
    <w:rsid w:val="00B220A3"/>
    <w:rsid w:val="00B226C8"/>
    <w:rsid w:val="00B40FC8"/>
    <w:rsid w:val="00B451B6"/>
    <w:rsid w:val="00B5289E"/>
    <w:rsid w:val="00B52F7E"/>
    <w:rsid w:val="00B614F9"/>
    <w:rsid w:val="00B615A1"/>
    <w:rsid w:val="00B619F3"/>
    <w:rsid w:val="00B738F6"/>
    <w:rsid w:val="00B82B15"/>
    <w:rsid w:val="00B8300F"/>
    <w:rsid w:val="00B92DA1"/>
    <w:rsid w:val="00BA0035"/>
    <w:rsid w:val="00BA17CB"/>
    <w:rsid w:val="00BA4013"/>
    <w:rsid w:val="00BA4836"/>
    <w:rsid w:val="00BA51FC"/>
    <w:rsid w:val="00BA72A0"/>
    <w:rsid w:val="00BB6063"/>
    <w:rsid w:val="00BB6DF6"/>
    <w:rsid w:val="00BB73B2"/>
    <w:rsid w:val="00BC7B39"/>
    <w:rsid w:val="00BD270C"/>
    <w:rsid w:val="00BD53D4"/>
    <w:rsid w:val="00BD6B2F"/>
    <w:rsid w:val="00BE692D"/>
    <w:rsid w:val="00BF2574"/>
    <w:rsid w:val="00BF2BFC"/>
    <w:rsid w:val="00BF39BE"/>
    <w:rsid w:val="00BF615A"/>
    <w:rsid w:val="00BF64FF"/>
    <w:rsid w:val="00C0394F"/>
    <w:rsid w:val="00C065C3"/>
    <w:rsid w:val="00C101AE"/>
    <w:rsid w:val="00C11F86"/>
    <w:rsid w:val="00C26C8D"/>
    <w:rsid w:val="00C353FE"/>
    <w:rsid w:val="00C35BB9"/>
    <w:rsid w:val="00C47FE1"/>
    <w:rsid w:val="00C54755"/>
    <w:rsid w:val="00C65B2C"/>
    <w:rsid w:val="00C75FAF"/>
    <w:rsid w:val="00C80811"/>
    <w:rsid w:val="00C87A84"/>
    <w:rsid w:val="00C926E8"/>
    <w:rsid w:val="00C92B01"/>
    <w:rsid w:val="00C96FE7"/>
    <w:rsid w:val="00CB2C49"/>
    <w:rsid w:val="00CC6777"/>
    <w:rsid w:val="00CD5748"/>
    <w:rsid w:val="00CE3753"/>
    <w:rsid w:val="00CE5A69"/>
    <w:rsid w:val="00CE5C98"/>
    <w:rsid w:val="00CF4288"/>
    <w:rsid w:val="00CF6407"/>
    <w:rsid w:val="00D2766A"/>
    <w:rsid w:val="00D312B6"/>
    <w:rsid w:val="00D33C9A"/>
    <w:rsid w:val="00D35253"/>
    <w:rsid w:val="00D41ECD"/>
    <w:rsid w:val="00D46AC2"/>
    <w:rsid w:val="00D47930"/>
    <w:rsid w:val="00D52AC0"/>
    <w:rsid w:val="00D63CDD"/>
    <w:rsid w:val="00D63F14"/>
    <w:rsid w:val="00D64755"/>
    <w:rsid w:val="00D6735E"/>
    <w:rsid w:val="00D7442E"/>
    <w:rsid w:val="00D85F66"/>
    <w:rsid w:val="00D92F22"/>
    <w:rsid w:val="00D9445A"/>
    <w:rsid w:val="00DA3067"/>
    <w:rsid w:val="00DA6949"/>
    <w:rsid w:val="00DB13A7"/>
    <w:rsid w:val="00DB1C32"/>
    <w:rsid w:val="00DC022D"/>
    <w:rsid w:val="00DC2376"/>
    <w:rsid w:val="00DC23A5"/>
    <w:rsid w:val="00DD1662"/>
    <w:rsid w:val="00DE2EA9"/>
    <w:rsid w:val="00DE4ACB"/>
    <w:rsid w:val="00DE72F6"/>
    <w:rsid w:val="00DF1DFE"/>
    <w:rsid w:val="00DF3707"/>
    <w:rsid w:val="00DF4F0B"/>
    <w:rsid w:val="00DF67EB"/>
    <w:rsid w:val="00E02608"/>
    <w:rsid w:val="00E02749"/>
    <w:rsid w:val="00E1314C"/>
    <w:rsid w:val="00E1322D"/>
    <w:rsid w:val="00E31B72"/>
    <w:rsid w:val="00E33404"/>
    <w:rsid w:val="00E34231"/>
    <w:rsid w:val="00E44048"/>
    <w:rsid w:val="00E50887"/>
    <w:rsid w:val="00E54B21"/>
    <w:rsid w:val="00E56CF8"/>
    <w:rsid w:val="00E62157"/>
    <w:rsid w:val="00E6544E"/>
    <w:rsid w:val="00E65884"/>
    <w:rsid w:val="00E72694"/>
    <w:rsid w:val="00E73802"/>
    <w:rsid w:val="00E749C2"/>
    <w:rsid w:val="00E75E61"/>
    <w:rsid w:val="00E7791D"/>
    <w:rsid w:val="00E84707"/>
    <w:rsid w:val="00E915A6"/>
    <w:rsid w:val="00E97B36"/>
    <w:rsid w:val="00EA0317"/>
    <w:rsid w:val="00EA172E"/>
    <w:rsid w:val="00EA421C"/>
    <w:rsid w:val="00EA4574"/>
    <w:rsid w:val="00EA7CD9"/>
    <w:rsid w:val="00EA7D9D"/>
    <w:rsid w:val="00EC2474"/>
    <w:rsid w:val="00ED158E"/>
    <w:rsid w:val="00ED4168"/>
    <w:rsid w:val="00ED7175"/>
    <w:rsid w:val="00EE6D25"/>
    <w:rsid w:val="00EE7E6E"/>
    <w:rsid w:val="00EF5D58"/>
    <w:rsid w:val="00EF5EFE"/>
    <w:rsid w:val="00F05302"/>
    <w:rsid w:val="00F05F6F"/>
    <w:rsid w:val="00F12BD0"/>
    <w:rsid w:val="00F13ADC"/>
    <w:rsid w:val="00F212CA"/>
    <w:rsid w:val="00F35718"/>
    <w:rsid w:val="00F409C1"/>
    <w:rsid w:val="00F41187"/>
    <w:rsid w:val="00F41E1A"/>
    <w:rsid w:val="00F43D0E"/>
    <w:rsid w:val="00F43F6C"/>
    <w:rsid w:val="00F47A09"/>
    <w:rsid w:val="00F47B15"/>
    <w:rsid w:val="00F545EF"/>
    <w:rsid w:val="00F549BE"/>
    <w:rsid w:val="00F55E33"/>
    <w:rsid w:val="00F60147"/>
    <w:rsid w:val="00F65156"/>
    <w:rsid w:val="00F66E1B"/>
    <w:rsid w:val="00F66FE5"/>
    <w:rsid w:val="00F70A74"/>
    <w:rsid w:val="00F7118E"/>
    <w:rsid w:val="00F759C1"/>
    <w:rsid w:val="00F8294E"/>
    <w:rsid w:val="00F9111B"/>
    <w:rsid w:val="00F91FE1"/>
    <w:rsid w:val="00F930F6"/>
    <w:rsid w:val="00FA45E3"/>
    <w:rsid w:val="00FA4C4B"/>
    <w:rsid w:val="00FA7397"/>
    <w:rsid w:val="00FB24ED"/>
    <w:rsid w:val="00FB5533"/>
    <w:rsid w:val="00FC2954"/>
    <w:rsid w:val="00FC639A"/>
    <w:rsid w:val="00FD1641"/>
    <w:rsid w:val="00FD6B74"/>
    <w:rsid w:val="00FE12B1"/>
    <w:rsid w:val="00FE625D"/>
    <w:rsid w:val="00FE7254"/>
    <w:rsid w:val="00FF0906"/>
    <w:rsid w:val="00FF14ED"/>
    <w:rsid w:val="00FF4415"/>
    <w:rsid w:val="0187B876"/>
    <w:rsid w:val="0286A37C"/>
    <w:rsid w:val="03E5D857"/>
    <w:rsid w:val="04D01CE6"/>
    <w:rsid w:val="04F18666"/>
    <w:rsid w:val="0617EB13"/>
    <w:rsid w:val="076BF946"/>
    <w:rsid w:val="07F48258"/>
    <w:rsid w:val="0A3D7CF4"/>
    <w:rsid w:val="0A7DF0BF"/>
    <w:rsid w:val="0C2FAB6C"/>
    <w:rsid w:val="0CF6D3A9"/>
    <w:rsid w:val="0DF6224E"/>
    <w:rsid w:val="0F660A5B"/>
    <w:rsid w:val="109A4505"/>
    <w:rsid w:val="1255592D"/>
    <w:rsid w:val="14A8F527"/>
    <w:rsid w:val="16D9474A"/>
    <w:rsid w:val="17D646EC"/>
    <w:rsid w:val="18D9CEDE"/>
    <w:rsid w:val="1925DAF7"/>
    <w:rsid w:val="1A6010B3"/>
    <w:rsid w:val="1B31DADE"/>
    <w:rsid w:val="1E48A2F4"/>
    <w:rsid w:val="1E6AB0D6"/>
    <w:rsid w:val="1EB4212A"/>
    <w:rsid w:val="1F5E2A8B"/>
    <w:rsid w:val="1F7749D5"/>
    <w:rsid w:val="1F8EE846"/>
    <w:rsid w:val="20670133"/>
    <w:rsid w:val="20B6D90F"/>
    <w:rsid w:val="239EA1F5"/>
    <w:rsid w:val="269637BF"/>
    <w:rsid w:val="27AB240B"/>
    <w:rsid w:val="27DA109B"/>
    <w:rsid w:val="285091C5"/>
    <w:rsid w:val="2947730B"/>
    <w:rsid w:val="2CE1AD55"/>
    <w:rsid w:val="2D566B61"/>
    <w:rsid w:val="2D6C1016"/>
    <w:rsid w:val="2D844053"/>
    <w:rsid w:val="2E34E70B"/>
    <w:rsid w:val="2E4A34E3"/>
    <w:rsid w:val="2EDD5153"/>
    <w:rsid w:val="302CF70A"/>
    <w:rsid w:val="302E22B1"/>
    <w:rsid w:val="30B3ECCD"/>
    <w:rsid w:val="312594C6"/>
    <w:rsid w:val="316DABEB"/>
    <w:rsid w:val="31B24AE8"/>
    <w:rsid w:val="323F8139"/>
    <w:rsid w:val="35103D4D"/>
    <w:rsid w:val="357D5926"/>
    <w:rsid w:val="3922BE47"/>
    <w:rsid w:val="39D0784F"/>
    <w:rsid w:val="3A7B6AB2"/>
    <w:rsid w:val="3B4DCA80"/>
    <w:rsid w:val="3B654C7D"/>
    <w:rsid w:val="3BB8CE85"/>
    <w:rsid w:val="3E75F6D3"/>
    <w:rsid w:val="3EF8B526"/>
    <w:rsid w:val="40A69B58"/>
    <w:rsid w:val="411F72FE"/>
    <w:rsid w:val="41A7BBCF"/>
    <w:rsid w:val="421EA6A9"/>
    <w:rsid w:val="42F9848C"/>
    <w:rsid w:val="42F98632"/>
    <w:rsid w:val="481F72C6"/>
    <w:rsid w:val="4980A514"/>
    <w:rsid w:val="4AA54D6B"/>
    <w:rsid w:val="4BD44F24"/>
    <w:rsid w:val="4C63FB2E"/>
    <w:rsid w:val="4CC0B0BE"/>
    <w:rsid w:val="4EA37C92"/>
    <w:rsid w:val="4EB6BA3F"/>
    <w:rsid w:val="5087583B"/>
    <w:rsid w:val="5113884F"/>
    <w:rsid w:val="52BFB058"/>
    <w:rsid w:val="52FD6E74"/>
    <w:rsid w:val="53CA7002"/>
    <w:rsid w:val="548406F4"/>
    <w:rsid w:val="54C1A1E0"/>
    <w:rsid w:val="54F48234"/>
    <w:rsid w:val="553D66F1"/>
    <w:rsid w:val="567FE12A"/>
    <w:rsid w:val="5686087E"/>
    <w:rsid w:val="5823843A"/>
    <w:rsid w:val="586088D6"/>
    <w:rsid w:val="5AC3467A"/>
    <w:rsid w:val="5B7C3A2C"/>
    <w:rsid w:val="5BEE6921"/>
    <w:rsid w:val="5D407D35"/>
    <w:rsid w:val="5DB0C9CE"/>
    <w:rsid w:val="5DC54189"/>
    <w:rsid w:val="5F014A4C"/>
    <w:rsid w:val="600C1C4A"/>
    <w:rsid w:val="62BA0AC9"/>
    <w:rsid w:val="62C72026"/>
    <w:rsid w:val="63D1D961"/>
    <w:rsid w:val="651FFC22"/>
    <w:rsid w:val="662FEABC"/>
    <w:rsid w:val="665BC357"/>
    <w:rsid w:val="671D19AE"/>
    <w:rsid w:val="697A3689"/>
    <w:rsid w:val="6A6A88CE"/>
    <w:rsid w:val="6B41F19E"/>
    <w:rsid w:val="6BF12D81"/>
    <w:rsid w:val="6D05E979"/>
    <w:rsid w:val="6EC922B4"/>
    <w:rsid w:val="7082FCA5"/>
    <w:rsid w:val="712D06C0"/>
    <w:rsid w:val="7136474C"/>
    <w:rsid w:val="71980AC5"/>
    <w:rsid w:val="71DFD458"/>
    <w:rsid w:val="746275F1"/>
    <w:rsid w:val="74C197DE"/>
    <w:rsid w:val="76E7CAE1"/>
    <w:rsid w:val="7770123F"/>
    <w:rsid w:val="777E4071"/>
    <w:rsid w:val="778290C1"/>
    <w:rsid w:val="77C21704"/>
    <w:rsid w:val="78BA9E44"/>
    <w:rsid w:val="78CDC5C6"/>
    <w:rsid w:val="7DA0C8D2"/>
    <w:rsid w:val="7E92CCE4"/>
    <w:rsid w:val="7F11A989"/>
    <w:rsid w:val="7F77A668"/>
    <w:rsid w:val="7FA2D7BA"/>
    <w:rsid w:val="7FD2A0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esedilo"/>
    <w:qFormat/>
    <w:rsid w:val="00363E63"/>
    <w:pPr>
      <w:spacing w:after="0" w:line="250" w:lineRule="atLeast"/>
      <w:jc w:val="both"/>
    </w:pPr>
    <w:rPr>
      <w:rFonts w:ascii="Myriad Pro" w:hAnsi="Myriad Pr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7B"/>
    <w:pPr>
      <w:tabs>
        <w:tab w:val="center" w:pos="4536"/>
        <w:tab w:val="right" w:pos="9072"/>
      </w:tabs>
      <w:spacing w:line="240" w:lineRule="auto"/>
    </w:pPr>
  </w:style>
  <w:style w:type="character" w:customStyle="1" w:styleId="HeaderChar">
    <w:name w:val="Header Char"/>
    <w:basedOn w:val="DefaultParagraphFont"/>
    <w:link w:val="Header"/>
    <w:uiPriority w:val="99"/>
    <w:rsid w:val="0063497B"/>
  </w:style>
  <w:style w:type="paragraph" w:styleId="Footer">
    <w:name w:val="footer"/>
    <w:basedOn w:val="Normal"/>
    <w:link w:val="FooterChar"/>
    <w:uiPriority w:val="99"/>
    <w:unhideWhenUsed/>
    <w:rsid w:val="0063497B"/>
    <w:pPr>
      <w:tabs>
        <w:tab w:val="center" w:pos="4536"/>
        <w:tab w:val="right" w:pos="9072"/>
      </w:tabs>
      <w:spacing w:line="240" w:lineRule="auto"/>
    </w:pPr>
  </w:style>
  <w:style w:type="character" w:customStyle="1" w:styleId="FooterChar">
    <w:name w:val="Footer Char"/>
    <w:basedOn w:val="DefaultParagraphFont"/>
    <w:link w:val="Footer"/>
    <w:uiPriority w:val="99"/>
    <w:rsid w:val="0063497B"/>
  </w:style>
  <w:style w:type="paragraph" w:styleId="NoSpacing">
    <w:name w:val="No Spacing"/>
    <w:uiPriority w:val="1"/>
    <w:qFormat/>
    <w:rsid w:val="00887D7E"/>
    <w:pPr>
      <w:spacing w:after="0" w:line="240" w:lineRule="auto"/>
    </w:pPr>
    <w:rPr>
      <w:rFonts w:ascii="Myriad Pro" w:hAnsi="Myriad Pro"/>
    </w:rPr>
  </w:style>
  <w:style w:type="paragraph" w:customStyle="1" w:styleId="Naslov11">
    <w:name w:val="Naslov 11"/>
    <w:basedOn w:val="Normal"/>
    <w:link w:val="Naslov1Char"/>
    <w:qFormat/>
    <w:rsid w:val="00812D81"/>
    <w:pPr>
      <w:spacing w:line="360" w:lineRule="exact"/>
    </w:pPr>
    <w:rPr>
      <w:b/>
      <w:sz w:val="32"/>
      <w:szCs w:val="36"/>
    </w:rPr>
  </w:style>
  <w:style w:type="paragraph" w:customStyle="1" w:styleId="Naslov21">
    <w:name w:val="Naslov 21"/>
    <w:basedOn w:val="Normal"/>
    <w:link w:val="Naslov2Char"/>
    <w:qFormat/>
    <w:rsid w:val="00812D81"/>
    <w:pPr>
      <w:spacing w:line="360" w:lineRule="exact"/>
    </w:pPr>
    <w:rPr>
      <w:sz w:val="32"/>
      <w:szCs w:val="36"/>
    </w:rPr>
  </w:style>
  <w:style w:type="character" w:customStyle="1" w:styleId="Naslov1Char">
    <w:name w:val="Naslov 1 Char"/>
    <w:basedOn w:val="DefaultParagraphFont"/>
    <w:link w:val="Naslov11"/>
    <w:rsid w:val="00812D81"/>
    <w:rPr>
      <w:rFonts w:ascii="Myriad Pro" w:hAnsi="Myriad Pro"/>
      <w:b/>
      <w:sz w:val="32"/>
      <w:szCs w:val="36"/>
    </w:rPr>
  </w:style>
  <w:style w:type="paragraph" w:customStyle="1" w:styleId="Naslov31">
    <w:name w:val="Naslov 31"/>
    <w:basedOn w:val="Normal"/>
    <w:link w:val="Naslov3Char"/>
    <w:qFormat/>
    <w:rsid w:val="00671853"/>
    <w:rPr>
      <w:b/>
    </w:rPr>
  </w:style>
  <w:style w:type="character" w:customStyle="1" w:styleId="Naslov2Char">
    <w:name w:val="Naslov 2 Char"/>
    <w:basedOn w:val="DefaultParagraphFont"/>
    <w:link w:val="Naslov21"/>
    <w:rsid w:val="00812D81"/>
    <w:rPr>
      <w:rFonts w:ascii="Myriad Pro" w:hAnsi="Myriad Pro"/>
      <w:sz w:val="32"/>
      <w:szCs w:val="36"/>
    </w:rPr>
  </w:style>
  <w:style w:type="paragraph" w:customStyle="1" w:styleId="Dodatneinformacije">
    <w:name w:val="Dodatne informacije"/>
    <w:basedOn w:val="Normal"/>
    <w:link w:val="DodatneinformacijeChar"/>
    <w:qFormat/>
    <w:rsid w:val="00F41E1A"/>
  </w:style>
  <w:style w:type="character" w:customStyle="1" w:styleId="Naslov3Char">
    <w:name w:val="Naslov 3 Char"/>
    <w:basedOn w:val="DefaultParagraphFont"/>
    <w:link w:val="Naslov31"/>
    <w:rsid w:val="00671853"/>
    <w:rPr>
      <w:rFonts w:ascii="Myriad Pro" w:hAnsi="Myriad Pro"/>
      <w:b/>
      <w:sz w:val="21"/>
    </w:rPr>
  </w:style>
  <w:style w:type="paragraph" w:styleId="BalloonText">
    <w:name w:val="Balloon Text"/>
    <w:basedOn w:val="Normal"/>
    <w:link w:val="BalloonTextChar"/>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DefaultParagraphFont"/>
    <w:link w:val="Dodatneinformacije"/>
    <w:rsid w:val="00F41E1A"/>
    <w:rPr>
      <w:rFonts w:ascii="Myriad Pro" w:hAnsi="Myriad Pro"/>
      <w:sz w:val="21"/>
    </w:rPr>
  </w:style>
  <w:style w:type="character" w:customStyle="1" w:styleId="BalloonTextChar">
    <w:name w:val="Balloon Text Char"/>
    <w:basedOn w:val="DefaultParagraphFont"/>
    <w:link w:val="BalloonText"/>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leGrid">
    <w:name w:val="Table Grid"/>
    <w:basedOn w:val="TableNormal"/>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4F0B"/>
    <w:pPr>
      <w:ind w:left="720"/>
      <w:contextualSpacing/>
    </w:pPr>
  </w:style>
  <w:style w:type="paragraph" w:customStyle="1" w:styleId="Besedilomanjealineje">
    <w:name w:val="Besedilo manjše_alineje"/>
    <w:basedOn w:val="ListParagraph"/>
    <w:link w:val="BesedilomanjealinejeChar"/>
    <w:rsid w:val="00F545EF"/>
    <w:pPr>
      <w:numPr>
        <w:numId w:val="1"/>
      </w:numPr>
      <w:spacing w:line="220" w:lineRule="exact"/>
      <w:ind w:left="170" w:hanging="170"/>
      <w:jc w:val="left"/>
    </w:pPr>
    <w:rPr>
      <w:sz w:val="16"/>
      <w:szCs w:val="16"/>
    </w:rPr>
  </w:style>
  <w:style w:type="character" w:customStyle="1" w:styleId="ListParagraphChar">
    <w:name w:val="List Paragraph Char"/>
    <w:basedOn w:val="DefaultParagraphFont"/>
    <w:link w:val="ListParagraph"/>
    <w:uiPriority w:val="34"/>
    <w:rsid w:val="00133E20"/>
    <w:rPr>
      <w:rFonts w:ascii="Myriad Pro" w:hAnsi="Myriad Pro"/>
      <w:sz w:val="21"/>
    </w:rPr>
  </w:style>
  <w:style w:type="character" w:customStyle="1" w:styleId="BesedilomanjealinejeChar">
    <w:name w:val="Besedilo manjše_alineje Char"/>
    <w:basedOn w:val="ListParagraphChar"/>
    <w:link w:val="Besedilomanjealineje"/>
    <w:rsid w:val="00F545EF"/>
    <w:rPr>
      <w:rFonts w:ascii="Myriad Pro" w:hAnsi="Myriad Pro"/>
      <w:sz w:val="16"/>
      <w:szCs w:val="16"/>
    </w:rPr>
  </w:style>
  <w:style w:type="character" w:styleId="Hyperlink">
    <w:name w:val="Hyperlink"/>
    <w:basedOn w:val="DefaultParagraphFont"/>
    <w:uiPriority w:val="99"/>
    <w:unhideWhenUsed/>
    <w:rsid w:val="00363E63"/>
    <w:rPr>
      <w:color w:val="0563C1" w:themeColor="hyperlink"/>
      <w:u w:val="single"/>
    </w:rPr>
  </w:style>
  <w:style w:type="paragraph" w:styleId="FootnoteText">
    <w:name w:val="footnote text"/>
    <w:aliases w:val="Sprotna opomba_EO, Char Char,Char Char,Sprotna opomba-besedilo,Char Char Char Char,Sprotna opomba - besedilo Znak1,Sprotna opomba - besedilo Znak Znak2,Sprotna opomba - besedilo Znak1 Znak Znak1,fn,Char Ch,o"/>
    <w:basedOn w:val="Normal"/>
    <w:link w:val="FootnoteTextChar"/>
    <w:uiPriority w:val="99"/>
    <w:unhideWhenUsed/>
    <w:qFormat/>
    <w:rsid w:val="00FE7254"/>
    <w:pPr>
      <w:spacing w:line="240" w:lineRule="auto"/>
    </w:pPr>
    <w:rPr>
      <w:sz w:val="16"/>
      <w:szCs w:val="20"/>
    </w:rPr>
  </w:style>
  <w:style w:type="character" w:customStyle="1" w:styleId="FootnoteTextChar">
    <w:name w:val="Footnote Text Char"/>
    <w:aliases w:val="Sprotna opomba_EO Char, Char Char Char,Char Char Char,Sprotna opomba-besedilo Char,Char Char Char Char Char,Sprotna opomba - besedilo Znak1 Char,Sprotna opomba - besedilo Znak Znak2 Char,Sprotna opomba - besedilo Znak1 Znak Znak1 Char"/>
    <w:basedOn w:val="DefaultParagraphFont"/>
    <w:link w:val="FootnoteText"/>
    <w:uiPriority w:val="99"/>
    <w:rsid w:val="00FE7254"/>
    <w:rPr>
      <w:rFonts w:ascii="Myriad Pro" w:hAnsi="Myriad Pro"/>
      <w:sz w:val="16"/>
      <w:szCs w:val="20"/>
    </w:rPr>
  </w:style>
  <w:style w:type="character" w:styleId="FootnoteReference">
    <w:name w:val="footnote reference"/>
    <w:aliases w:val="footnote_EO,Footnote symbol,Fussnota,Footnote,Footnote reference number,note TESI,SUPERS,EN Footnote Reference,-E Fußnotenzeichen,Times 10 Point,Exposant 3 Point,E...,nota de rodapé,Footnote Reference_LVL6,Footnote Reference_LVL61"/>
    <w:basedOn w:val="DefaultParagraphFont"/>
    <w:uiPriority w:val="99"/>
    <w:unhideWhenUsed/>
    <w:qFormat/>
    <w:rsid w:val="00FE7254"/>
    <w:rPr>
      <w:vertAlign w:val="superscript"/>
    </w:rPr>
  </w:style>
  <w:style w:type="character" w:styleId="UnresolvedMention">
    <w:name w:val="Unresolved Mention"/>
    <w:basedOn w:val="DefaultParagraphFont"/>
    <w:uiPriority w:val="99"/>
    <w:semiHidden/>
    <w:unhideWhenUsed/>
    <w:rsid w:val="003A49D8"/>
    <w:rPr>
      <w:color w:val="605E5C"/>
      <w:shd w:val="clear" w:color="auto" w:fill="E1DFDD"/>
    </w:rPr>
  </w:style>
  <w:style w:type="paragraph" w:customStyle="1" w:styleId="Naslov310">
    <w:name w:val="Naslov 310"/>
    <w:basedOn w:val="Normal"/>
    <w:qFormat/>
    <w:rsid w:val="00120162"/>
    <w:rPr>
      <w:b/>
    </w:rPr>
  </w:style>
  <w:style w:type="character" w:styleId="CommentReference">
    <w:name w:val="annotation reference"/>
    <w:basedOn w:val="DefaultParagraphFont"/>
    <w:uiPriority w:val="99"/>
    <w:semiHidden/>
    <w:unhideWhenUsed/>
    <w:rsid w:val="002B67C9"/>
    <w:rPr>
      <w:sz w:val="16"/>
      <w:szCs w:val="16"/>
    </w:rPr>
  </w:style>
  <w:style w:type="paragraph" w:styleId="CommentText">
    <w:name w:val="annotation text"/>
    <w:basedOn w:val="Normal"/>
    <w:link w:val="CommentTextChar"/>
    <w:uiPriority w:val="99"/>
    <w:semiHidden/>
    <w:unhideWhenUsed/>
    <w:rsid w:val="002B67C9"/>
    <w:pPr>
      <w:spacing w:line="240" w:lineRule="auto"/>
    </w:pPr>
    <w:rPr>
      <w:szCs w:val="20"/>
    </w:rPr>
  </w:style>
  <w:style w:type="character" w:customStyle="1" w:styleId="CommentTextChar">
    <w:name w:val="Comment Text Char"/>
    <w:basedOn w:val="DefaultParagraphFont"/>
    <w:link w:val="CommentText"/>
    <w:uiPriority w:val="99"/>
    <w:semiHidden/>
    <w:rsid w:val="002B67C9"/>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2B67C9"/>
    <w:rPr>
      <w:b/>
      <w:bCs/>
    </w:rPr>
  </w:style>
  <w:style w:type="character" w:customStyle="1" w:styleId="CommentSubjectChar">
    <w:name w:val="Comment Subject Char"/>
    <w:basedOn w:val="CommentTextChar"/>
    <w:link w:val="CommentSubject"/>
    <w:uiPriority w:val="99"/>
    <w:semiHidden/>
    <w:rsid w:val="002B67C9"/>
    <w:rPr>
      <w:rFonts w:ascii="Myriad Pro" w:hAnsi="Myriad Pro"/>
      <w:b/>
      <w:bCs/>
      <w:sz w:val="20"/>
      <w:szCs w:val="20"/>
    </w:rPr>
  </w:style>
  <w:style w:type="paragraph" w:styleId="Revision">
    <w:name w:val="Revision"/>
    <w:hidden/>
    <w:uiPriority w:val="99"/>
    <w:semiHidden/>
    <w:rsid w:val="003D0FA7"/>
    <w:pPr>
      <w:spacing w:after="0" w:line="240" w:lineRule="auto"/>
    </w:pPr>
    <w:rPr>
      <w:rFonts w:ascii="Myriad Pro" w:hAnsi="Myriad Pro"/>
      <w:sz w:val="20"/>
    </w:rPr>
  </w:style>
  <w:style w:type="character" w:styleId="EndnoteReference">
    <w:name w:val="endnote reference"/>
    <w:basedOn w:val="DefaultParagraphFont"/>
    <w:uiPriority w:val="99"/>
    <w:semiHidden/>
    <w:unhideWhenUsed/>
    <w:rsid w:val="000C5DFC"/>
    <w:rPr>
      <w:vertAlign w:val="superscript"/>
    </w:rPr>
  </w:style>
  <w:style w:type="character" w:styleId="Strong">
    <w:name w:val="Strong"/>
    <w:basedOn w:val="DefaultParagraphFont"/>
    <w:uiPriority w:val="22"/>
    <w:qFormat/>
    <w:rsid w:val="009B5B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A69D0-2C91-4F86-A899-61A83DEFA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2022-10-17T12:06:00Z</dcterms:created>
  <dcterms:modified xsi:type="dcterms:W3CDTF">2022-10-17T12:06:00Z</dcterms:modified>
</cp:coreProperties>
</file>