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27A61" w14:textId="2CBA2F21" w:rsidR="001D6793" w:rsidRPr="00850FF7" w:rsidRDefault="00BB1BAE" w:rsidP="001D6793">
      <w:pPr>
        <w:pStyle w:val="Naslov11"/>
      </w:pPr>
      <w:r w:rsidRPr="00850FF7">
        <w:t xml:space="preserve">CHARTS OF THE WEEK </w:t>
      </w:r>
    </w:p>
    <w:p w14:paraId="069DD334" w14:textId="55B898BC" w:rsidR="001D6793" w:rsidRPr="00850FF7" w:rsidRDefault="00FA45E3" w:rsidP="001D6793">
      <w:pPr>
        <w:pStyle w:val="Naslov21"/>
      </w:pPr>
      <w:r w:rsidRPr="00850FF7">
        <w:t>17 July–18 August 2023</w:t>
      </w:r>
    </w:p>
    <w:p w14:paraId="6FBC1E05" w14:textId="37133333" w:rsidR="00DF4F0B" w:rsidRPr="00850FF7" w:rsidRDefault="00DF4F0B"/>
    <w:p w14:paraId="12B4C2E2" w14:textId="66BEBD7B" w:rsidR="00C44194" w:rsidRPr="00850FF7" w:rsidRDefault="00BA5075" w:rsidP="00C44194">
      <w:pPr>
        <w:tabs>
          <w:tab w:val="left" w:pos="580"/>
        </w:tabs>
        <w:rPr>
          <w:rStyle w:val="markedcontent"/>
          <w:rFonts w:cs="Arial"/>
          <w:color w:val="000000" w:themeColor="text1"/>
        </w:rPr>
      </w:pPr>
      <w:r w:rsidRPr="00850FF7">
        <w:rPr>
          <w:rStyle w:val="markedcontent"/>
          <w:color w:val="000000" w:themeColor="text1"/>
        </w:rPr>
        <w:t xml:space="preserve">In the second quarter, GDP increased </w:t>
      </w:r>
      <w:r w:rsidR="00C44194" w:rsidRPr="00850FF7">
        <w:rPr>
          <w:rStyle w:val="markedcontent"/>
          <w:color w:val="000000" w:themeColor="text1"/>
        </w:rPr>
        <w:t xml:space="preserve">by 1.4% </w:t>
      </w:r>
      <w:r w:rsidR="002E5B46" w:rsidRPr="00850FF7">
        <w:rPr>
          <w:rStyle w:val="markedcontent"/>
          <w:color w:val="000000" w:themeColor="text1"/>
        </w:rPr>
        <w:t>quarter-on-</w:t>
      </w:r>
      <w:r w:rsidR="00C44194" w:rsidRPr="00850FF7">
        <w:rPr>
          <w:rStyle w:val="markedcontent"/>
          <w:color w:val="000000" w:themeColor="text1"/>
        </w:rPr>
        <w:t xml:space="preserve">quarter (seasonally adjusted) and by the same amount year-on-year. Construction activity and value added growth in manufacturing picked up, while manufacturing output </w:t>
      </w:r>
      <w:r w:rsidR="008C24C8" w:rsidRPr="00850FF7">
        <w:rPr>
          <w:rStyle w:val="markedcontent"/>
          <w:color w:val="000000" w:themeColor="text1"/>
        </w:rPr>
        <w:t>contracted</w:t>
      </w:r>
      <w:r w:rsidR="00C44194" w:rsidRPr="00850FF7">
        <w:rPr>
          <w:rStyle w:val="markedcontent"/>
          <w:color w:val="000000" w:themeColor="text1"/>
        </w:rPr>
        <w:t xml:space="preserve">. Inventories fell sharply, which, in addition to lower household consumption, contributed </w:t>
      </w:r>
      <w:r w:rsidR="000B6124" w:rsidRPr="00850FF7">
        <w:rPr>
          <w:rStyle w:val="markedcontent"/>
          <w:color w:val="000000" w:themeColor="text1"/>
        </w:rPr>
        <w:t xml:space="preserve">to </w:t>
      </w:r>
      <w:r w:rsidR="00C44194" w:rsidRPr="00850FF7">
        <w:rPr>
          <w:rStyle w:val="markedcontent"/>
          <w:color w:val="000000" w:themeColor="text1"/>
        </w:rPr>
        <w:t xml:space="preserve">the sharp decline in imports. As the decline in exports was much smaller, the contribution of external trade was strongly positive and the current account of the balance of payments recorded a large surplus (EUR 1.4 billion), also </w:t>
      </w:r>
      <w:r w:rsidR="002D585F" w:rsidRPr="00850FF7">
        <w:rPr>
          <w:rStyle w:val="markedcontent"/>
          <w:color w:val="000000" w:themeColor="text1"/>
        </w:rPr>
        <w:t>given</w:t>
      </w:r>
      <w:r w:rsidR="00C44194" w:rsidRPr="00850FF7">
        <w:rPr>
          <w:rStyle w:val="markedcontent"/>
          <w:color w:val="000000" w:themeColor="text1"/>
        </w:rPr>
        <w:t xml:space="preserve"> the improved terms of trade. The growth of consumer prices and also of Slovenian industrial producer prices is slowing. Lower energy prices contributed most to the decline in inflation in July, while the growth of food prices is also slowing, </w:t>
      </w:r>
      <w:r w:rsidR="00AB1139" w:rsidRPr="00850FF7">
        <w:rPr>
          <w:rStyle w:val="markedcontent"/>
          <w:color w:val="000000" w:themeColor="text1"/>
        </w:rPr>
        <w:t>though it</w:t>
      </w:r>
      <w:r w:rsidR="00C44194" w:rsidRPr="00850FF7">
        <w:rPr>
          <w:rStyle w:val="markedcontent"/>
          <w:color w:val="000000" w:themeColor="text1"/>
        </w:rPr>
        <w:t xml:space="preserve"> is still relatively high at 10.7%. Year-on-year growth of industrial producer prices, which was still close to 20% at the end of last year, was 4.9% in June this year, partly due to the base effect. The average wage was higher year-on-year in real terms in May, mainly due to the increase in public sector wages following last year’s wage increase agreement. The number of persons in employment rose again in June. For some time now, employment has been increasing almost exclusively through the employment of foreigners. Unemployment remains low and was 13% lower year-on-year in July. Given the severe labour shortage, long-term unemployment and unemployment among older people have also declined. The economic sentiment indicator also deteriorated in July, mainly due to lower confidence in retail trade and also in services and manufacturing. </w:t>
      </w:r>
    </w:p>
    <w:p w14:paraId="3BA508A8" w14:textId="77777777" w:rsidR="00C44194" w:rsidRPr="00850FF7" w:rsidRDefault="00C44194" w:rsidP="00C44194">
      <w:pPr>
        <w:tabs>
          <w:tab w:val="left" w:pos="580"/>
        </w:tabs>
      </w:pPr>
    </w:p>
    <w:p w14:paraId="4549E37B" w14:textId="77777777" w:rsidR="00C44194" w:rsidRPr="00850FF7" w:rsidRDefault="00C44194" w:rsidP="00C44194">
      <w:pPr>
        <w:tabs>
          <w:tab w:val="left" w:pos="580"/>
        </w:tabs>
      </w:pPr>
    </w:p>
    <w:p w14:paraId="3EA8C657" w14:textId="77777777" w:rsidR="00C44194" w:rsidRPr="00850FF7" w:rsidRDefault="00C44194" w:rsidP="00C44194">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19"/>
        <w:gridCol w:w="163"/>
        <w:gridCol w:w="4657"/>
      </w:tblGrid>
      <w:tr w:rsidR="00C44194" w:rsidRPr="00850FF7" w14:paraId="34AC2BAC" w14:textId="77777777" w:rsidTr="00345A39">
        <w:trPr>
          <w:trHeight w:val="207"/>
        </w:trPr>
        <w:tc>
          <w:tcPr>
            <w:tcW w:w="4819" w:type="dxa"/>
            <w:tcBorders>
              <w:bottom w:val="single" w:sz="4" w:space="0" w:color="auto"/>
            </w:tcBorders>
            <w:tcMar>
              <w:left w:w="0" w:type="dxa"/>
            </w:tcMar>
          </w:tcPr>
          <w:p w14:paraId="6BCDDD95" w14:textId="77777777" w:rsidR="00C44194" w:rsidRPr="00850FF7" w:rsidRDefault="00C44194" w:rsidP="00345A39">
            <w:pPr>
              <w:pStyle w:val="Naslov31"/>
              <w:jc w:val="left"/>
            </w:pPr>
            <w:r w:rsidRPr="00850FF7">
              <w:t>Gross domestic product, Q2 2023</w:t>
            </w:r>
          </w:p>
        </w:tc>
        <w:tc>
          <w:tcPr>
            <w:tcW w:w="4820" w:type="dxa"/>
            <w:gridSpan w:val="2"/>
            <w:tcBorders>
              <w:bottom w:val="single" w:sz="4" w:space="0" w:color="auto"/>
            </w:tcBorders>
          </w:tcPr>
          <w:p w14:paraId="53BA7F22" w14:textId="77777777" w:rsidR="00C44194" w:rsidRPr="00850FF7" w:rsidRDefault="00C44194" w:rsidP="00345A39">
            <w:pPr>
              <w:pStyle w:val="Naslov31"/>
            </w:pPr>
          </w:p>
        </w:tc>
      </w:tr>
      <w:tr w:rsidR="00C44194" w:rsidRPr="00850FF7" w14:paraId="591B4B89" w14:textId="77777777" w:rsidTr="00345A39">
        <w:trPr>
          <w:trHeight w:val="1134"/>
        </w:trPr>
        <w:tc>
          <w:tcPr>
            <w:tcW w:w="4982" w:type="dxa"/>
            <w:gridSpan w:val="2"/>
            <w:tcBorders>
              <w:top w:val="single" w:sz="4" w:space="0" w:color="auto"/>
            </w:tcBorders>
            <w:tcMar>
              <w:left w:w="0" w:type="dxa"/>
            </w:tcMar>
          </w:tcPr>
          <w:p w14:paraId="4C1423AD" w14:textId="5B31D0C5" w:rsidR="00C44194" w:rsidRPr="00850FF7" w:rsidRDefault="00B9324D" w:rsidP="00345A39">
            <w:pPr>
              <w:pStyle w:val="ListParagraph"/>
              <w:ind w:left="0"/>
            </w:pPr>
            <w:r w:rsidRPr="00850FF7">
              <w:rPr>
                <w:noProof/>
                <w:lang w:val="sl-SI" w:eastAsia="sl-SI"/>
              </w:rPr>
              <w:drawing>
                <wp:inline distT="0" distB="0" distL="0" distR="0" wp14:anchorId="2122FDF2" wp14:editId="3E67D0BA">
                  <wp:extent cx="3147093" cy="2575560"/>
                  <wp:effectExtent l="0" t="0" r="0" b="0"/>
                  <wp:docPr id="44" name="Picture 44" descr="Slika, ki vsebuje besede besedilo, posnetek zaslona, grafični prikaz, vrstic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lika 44" descr="Slika, ki vsebuje besede besedilo, posnetek zaslona, grafični prikaz, vrstica&#10;&#10;Opis je samodejno ustvarj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559" cy="2580033"/>
                          </a:xfrm>
                          <a:prstGeom prst="rect">
                            <a:avLst/>
                          </a:prstGeom>
                          <a:noFill/>
                        </pic:spPr>
                      </pic:pic>
                    </a:graphicData>
                  </a:graphic>
                </wp:inline>
              </w:drawing>
            </w:r>
          </w:p>
          <w:p w14:paraId="3BA9748C" w14:textId="77777777" w:rsidR="00C44194" w:rsidRPr="00850FF7" w:rsidRDefault="00C44194" w:rsidP="00345A39">
            <w:pPr>
              <w:pStyle w:val="ListParagraph"/>
              <w:ind w:left="0"/>
            </w:pPr>
          </w:p>
          <w:p w14:paraId="6EE8EA62" w14:textId="77777777" w:rsidR="00C44194" w:rsidRPr="00850FF7" w:rsidRDefault="00C44194" w:rsidP="00345A39">
            <w:pPr>
              <w:pStyle w:val="ListParagraph"/>
              <w:ind w:left="0"/>
            </w:pPr>
          </w:p>
          <w:p w14:paraId="7874B566" w14:textId="77777777" w:rsidR="00C44194" w:rsidRPr="00850FF7" w:rsidRDefault="00C44194" w:rsidP="00345A39">
            <w:pPr>
              <w:pStyle w:val="ListParagraph"/>
              <w:ind w:left="0"/>
            </w:pPr>
          </w:p>
          <w:p w14:paraId="305FF760" w14:textId="77777777" w:rsidR="00C44194" w:rsidRPr="00850FF7" w:rsidRDefault="00C44194" w:rsidP="00345A39">
            <w:pPr>
              <w:pStyle w:val="ListParagraph"/>
              <w:ind w:left="0"/>
            </w:pPr>
          </w:p>
          <w:p w14:paraId="6CA1F850" w14:textId="77777777" w:rsidR="00C44194" w:rsidRPr="00850FF7" w:rsidRDefault="00C44194" w:rsidP="00345A39">
            <w:pPr>
              <w:pStyle w:val="ListParagraph"/>
              <w:ind w:left="0"/>
            </w:pPr>
          </w:p>
          <w:p w14:paraId="1CBFF81F" w14:textId="77777777" w:rsidR="00C44194" w:rsidRPr="00850FF7" w:rsidRDefault="00C44194" w:rsidP="00345A39">
            <w:pPr>
              <w:pStyle w:val="ListParagraph"/>
              <w:ind w:left="0"/>
            </w:pPr>
          </w:p>
        </w:tc>
        <w:tc>
          <w:tcPr>
            <w:tcW w:w="4657" w:type="dxa"/>
            <w:tcBorders>
              <w:top w:val="single" w:sz="4" w:space="0" w:color="auto"/>
            </w:tcBorders>
            <w:tcMar>
              <w:left w:w="284" w:type="dxa"/>
            </w:tcMar>
          </w:tcPr>
          <w:p w14:paraId="0B9E75D6" w14:textId="07FEB01D" w:rsidR="00C44194" w:rsidRPr="00850FF7" w:rsidRDefault="00C44194" w:rsidP="00345A39">
            <w:r w:rsidRPr="00850FF7">
              <w:rPr>
                <w:rStyle w:val="Strong"/>
              </w:rPr>
              <w:t>In the second quarter of 2023, real gross domestic product (GDP) increased by 1.4% quarter-on-quarter (seasonally adjusted) and by the same amount also year-on-year.</w:t>
            </w:r>
            <w:r w:rsidRPr="00850FF7">
              <w:t xml:space="preserve"> Construction activity and value</w:t>
            </w:r>
            <w:r w:rsidR="00D87267">
              <w:t xml:space="preserve"> </w:t>
            </w:r>
            <w:r w:rsidRPr="00850FF7">
              <w:t xml:space="preserve">added growth in manufacturing have picked up, which is not what is evident from the monthly data available on industrial production in manufacturing. Growth in the services sector has declined. </w:t>
            </w:r>
            <w:r w:rsidR="00193103">
              <w:t>Gross f</w:t>
            </w:r>
            <w:r w:rsidRPr="00850FF7">
              <w:t xml:space="preserve">ixed capital formation, especially in construction, also increased significantly and government consumption picked up. Inventories fell sharply (their contribution was -7.3 p.p.), which, along with lower household consumption, contributed to the sharp decline in imports. </w:t>
            </w:r>
            <w:r w:rsidR="00A10D52">
              <w:t xml:space="preserve">The latter was </w:t>
            </w:r>
            <w:r w:rsidR="00504504">
              <w:t xml:space="preserve">more pronounced than </w:t>
            </w:r>
            <w:r w:rsidRPr="00850FF7">
              <w:t xml:space="preserve">the decline in exports, </w:t>
            </w:r>
            <w:r w:rsidR="00504504">
              <w:t>which</w:t>
            </w:r>
            <w:r w:rsidR="00504504" w:rsidRPr="00850FF7">
              <w:t xml:space="preserve"> </w:t>
            </w:r>
            <w:r w:rsidRPr="00850FF7">
              <w:t>led to a very high positive contribution of external trade to GDP growth (6.7 p.p.).</w:t>
            </w:r>
          </w:p>
        </w:tc>
      </w:tr>
    </w:tbl>
    <w:p w14:paraId="072DBAD6" w14:textId="77777777" w:rsidR="00C44194" w:rsidRPr="00850FF7" w:rsidRDefault="00C44194" w:rsidP="00C44194">
      <w:pPr>
        <w:pStyle w:val="Naslov31"/>
        <w:jc w:val="left"/>
      </w:pPr>
    </w:p>
    <w:p w14:paraId="00656515" w14:textId="77777777" w:rsidR="00C44194" w:rsidRPr="00850FF7" w:rsidRDefault="00C44194" w:rsidP="00C44194">
      <w:pPr>
        <w:pStyle w:val="Naslov31"/>
        <w:jc w:val="left"/>
        <w:sectPr w:rsidR="00C44194" w:rsidRPr="00850FF7" w:rsidSect="00187E14">
          <w:headerReference w:type="default" r:id="rId9"/>
          <w:footerReference w:type="default" r:id="rId10"/>
          <w:headerReference w:type="first" r:id="rId11"/>
          <w:footerReference w:type="first" r:id="rId12"/>
          <w:pgSz w:w="11906" w:h="16838"/>
          <w:pgMar w:top="1134" w:right="1134" w:bottom="1021" w:left="1134" w:header="709" w:footer="397" w:gutter="0"/>
          <w:cols w:space="708"/>
          <w:docGrid w:linePitch="360"/>
        </w:sectPr>
      </w:pPr>
    </w:p>
    <w:tbl>
      <w:tblPr>
        <w:tblStyle w:val="Tabelamrea1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4657"/>
      </w:tblGrid>
      <w:tr w:rsidR="00C44194" w:rsidRPr="00850FF7" w14:paraId="5274E59E" w14:textId="77777777" w:rsidTr="00345A39">
        <w:trPr>
          <w:trHeight w:val="207"/>
        </w:trPr>
        <w:tc>
          <w:tcPr>
            <w:tcW w:w="9639" w:type="dxa"/>
            <w:gridSpan w:val="2"/>
            <w:tcBorders>
              <w:bottom w:val="single" w:sz="4" w:space="0" w:color="auto"/>
            </w:tcBorders>
            <w:tcMar>
              <w:left w:w="0" w:type="dxa"/>
            </w:tcMar>
          </w:tcPr>
          <w:p w14:paraId="4CE39917" w14:textId="77777777" w:rsidR="00C44194" w:rsidRPr="00850FF7" w:rsidRDefault="00C44194" w:rsidP="00345A39">
            <w:pPr>
              <w:rPr>
                <w:b/>
              </w:rPr>
            </w:pPr>
            <w:r w:rsidRPr="00850FF7">
              <w:rPr>
                <w:b/>
                <w:bCs/>
              </w:rPr>
              <w:lastRenderedPageBreak/>
              <w:t>Consumer prices, July 2023</w:t>
            </w:r>
          </w:p>
        </w:tc>
      </w:tr>
      <w:tr w:rsidR="00C44194" w:rsidRPr="00850FF7" w14:paraId="31AA1D47" w14:textId="77777777" w:rsidTr="00345A39">
        <w:trPr>
          <w:trHeight w:val="1134"/>
        </w:trPr>
        <w:tc>
          <w:tcPr>
            <w:tcW w:w="4982" w:type="dxa"/>
            <w:tcBorders>
              <w:top w:val="single" w:sz="4" w:space="0" w:color="auto"/>
            </w:tcBorders>
            <w:tcMar>
              <w:left w:w="0" w:type="dxa"/>
            </w:tcMar>
          </w:tcPr>
          <w:p w14:paraId="6999B397" w14:textId="644917FE" w:rsidR="00C44194" w:rsidRPr="00850FF7" w:rsidRDefault="00B9324D" w:rsidP="00345A39">
            <w:pPr>
              <w:contextualSpacing/>
            </w:pPr>
            <w:r w:rsidRPr="00850FF7">
              <w:rPr>
                <w:rStyle w:val="FooterChar"/>
                <w:noProof/>
                <w:color w:val="A6A6A6" w:themeColor="accent3"/>
                <w:lang w:val="sl-SI" w:eastAsia="sl-SI"/>
              </w:rPr>
              <w:drawing>
                <wp:inline distT="0" distB="0" distL="0" distR="0" wp14:anchorId="632A67A7" wp14:editId="037C4B9E">
                  <wp:extent cx="3147038" cy="2484120"/>
                  <wp:effectExtent l="0" t="0" r="0" b="0"/>
                  <wp:docPr id="41" name="Picture 41" descr="Slika, ki vsebuje besede besedilo, grafični prikaz, posnetek zaslona, vrstic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lika 41" descr="Slika, ki vsebuje besede besedilo, grafični prikaz, posnetek zaslona, vrstica&#10;&#10;Opis je samodejno ustvarj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3302" cy="2489065"/>
                          </a:xfrm>
                          <a:prstGeom prst="rect">
                            <a:avLst/>
                          </a:prstGeom>
                          <a:noFill/>
                        </pic:spPr>
                      </pic:pic>
                    </a:graphicData>
                  </a:graphic>
                </wp:inline>
              </w:drawing>
            </w:r>
          </w:p>
        </w:tc>
        <w:tc>
          <w:tcPr>
            <w:tcW w:w="4657" w:type="dxa"/>
            <w:tcBorders>
              <w:top w:val="single" w:sz="4" w:space="0" w:color="auto"/>
            </w:tcBorders>
            <w:tcMar>
              <w:left w:w="284" w:type="dxa"/>
            </w:tcMar>
          </w:tcPr>
          <w:p w14:paraId="488B95DA" w14:textId="62CA4DD3" w:rsidR="00C44194" w:rsidRPr="00850FF7" w:rsidRDefault="00C44194" w:rsidP="00345A39">
            <w:pPr>
              <w:rPr>
                <w:bCs/>
              </w:rPr>
            </w:pPr>
            <w:r w:rsidRPr="00850FF7">
              <w:rPr>
                <w:b/>
              </w:rPr>
              <w:t xml:space="preserve">Year-on-year consumer price growth slowed further in July. </w:t>
            </w:r>
            <w:r w:rsidRPr="00850FF7">
              <w:t xml:space="preserve">The main reason for the slower growth were </w:t>
            </w:r>
            <w:r w:rsidR="006B3E32" w:rsidRPr="00850FF7">
              <w:t xml:space="preserve">the </w:t>
            </w:r>
            <w:r w:rsidRPr="00850FF7">
              <w:t xml:space="preserve">8.3% lower energy prices. Food price growth slowed further, and although still relatively high at 10.7%, food prices fell month-on-month for the second month in a row. This was mainly due to seasonally lower prices of fruit and vegetables, while prices of dairy products and bread and cereal products also fell slightly. The slowdown in the year-on-year growth of furniture prices (7.4%) and the </w:t>
            </w:r>
            <w:r w:rsidR="006B3E32" w:rsidRPr="00850FF7">
              <w:t>slight</w:t>
            </w:r>
            <w:r w:rsidRPr="00850FF7">
              <w:t xml:space="preserve"> decline in car prices continue to be accompanied by a gradual slowdown in the increase in durable goods prices (2.2%). However, growth of semi-durable goods prices (6.5%) accelerated slightly, reflecting less pronounced seasonal price drop in the clothing and footwear group. The broad-based year-on-year growth in service prices remains slightly below 8.5%. Services related to recreation and culture, which account for about two-fifths of all services and whose prices have risen by about 9% year-on-year, have contributed the most to inflation (slightly more than 1 p.p.). The highest price increase (by about one-tenth) was recorded in transport-related services. Prices of air tickets increased by almost 40% and prices of car insurance by almost 17%. Among the 12 groups of goods and services, the strongest price growth continues to be seen in the health group, where the price increase in July was still almost 14% year-on-year. </w:t>
            </w:r>
          </w:p>
          <w:p w14:paraId="2E00988C" w14:textId="77777777" w:rsidR="00C44194" w:rsidRPr="00850FF7" w:rsidRDefault="00C44194" w:rsidP="00345A39">
            <w:pPr>
              <w:rPr>
                <w:bCs/>
              </w:rPr>
            </w:pPr>
          </w:p>
          <w:p w14:paraId="67E91038" w14:textId="77777777" w:rsidR="00C44194" w:rsidRPr="00850FF7" w:rsidRDefault="00C44194" w:rsidP="00345A39">
            <w:pPr>
              <w:rPr>
                <w:bCs/>
              </w:rPr>
            </w:pPr>
          </w:p>
          <w:p w14:paraId="73201A9E" w14:textId="77777777" w:rsidR="00C44194" w:rsidRPr="00850FF7" w:rsidRDefault="00C44194" w:rsidP="00345A39">
            <w:pPr>
              <w:rPr>
                <w:bCs/>
              </w:rPr>
            </w:pPr>
          </w:p>
        </w:tc>
      </w:tr>
    </w:tbl>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04"/>
        <w:gridCol w:w="1846"/>
        <w:gridCol w:w="2895"/>
      </w:tblGrid>
      <w:tr w:rsidR="00C44194" w:rsidRPr="00850FF7" w14:paraId="14E07353" w14:textId="77777777" w:rsidTr="00345A39">
        <w:trPr>
          <w:trHeight w:val="207"/>
        </w:trPr>
        <w:tc>
          <w:tcPr>
            <w:tcW w:w="6750" w:type="dxa"/>
            <w:gridSpan w:val="2"/>
            <w:tcBorders>
              <w:top w:val="nil"/>
              <w:left w:val="nil"/>
              <w:bottom w:val="single" w:sz="4" w:space="0" w:color="auto"/>
              <w:right w:val="nil"/>
            </w:tcBorders>
            <w:hideMark/>
          </w:tcPr>
          <w:p w14:paraId="66320CA0" w14:textId="77777777" w:rsidR="00C44194" w:rsidRPr="00850FF7" w:rsidRDefault="00C44194" w:rsidP="00345A39">
            <w:pPr>
              <w:pStyle w:val="Naslov31"/>
              <w:jc w:val="left"/>
            </w:pPr>
            <w:r w:rsidRPr="00850FF7">
              <w:t>Slovenian industrial producer prices, June 2023</w:t>
            </w:r>
          </w:p>
        </w:tc>
        <w:tc>
          <w:tcPr>
            <w:tcW w:w="2895" w:type="dxa"/>
            <w:tcBorders>
              <w:top w:val="nil"/>
              <w:left w:val="nil"/>
              <w:bottom w:val="single" w:sz="4" w:space="0" w:color="auto"/>
              <w:right w:val="nil"/>
            </w:tcBorders>
          </w:tcPr>
          <w:p w14:paraId="291B3C2E" w14:textId="77777777" w:rsidR="00C44194" w:rsidRPr="00850FF7" w:rsidRDefault="00C44194" w:rsidP="00345A39">
            <w:pPr>
              <w:pStyle w:val="Naslov31"/>
              <w:rPr>
                <w:highlight w:val="green"/>
              </w:rPr>
            </w:pPr>
          </w:p>
        </w:tc>
      </w:tr>
      <w:tr w:rsidR="00C44194" w:rsidRPr="00850FF7" w14:paraId="676F38D7" w14:textId="77777777" w:rsidTr="006B3E32">
        <w:trPr>
          <w:trHeight w:val="3735"/>
        </w:trPr>
        <w:tc>
          <w:tcPr>
            <w:tcW w:w="4904" w:type="dxa"/>
            <w:tcBorders>
              <w:top w:val="single" w:sz="4" w:space="0" w:color="auto"/>
              <w:left w:val="nil"/>
              <w:bottom w:val="nil"/>
              <w:right w:val="nil"/>
            </w:tcBorders>
            <w:hideMark/>
          </w:tcPr>
          <w:p w14:paraId="7A9BF97F" w14:textId="7FCE0673" w:rsidR="00C44194" w:rsidRPr="00850FF7" w:rsidRDefault="00B9324D" w:rsidP="00345A39">
            <w:pPr>
              <w:pStyle w:val="ListParagraph"/>
              <w:ind w:left="0"/>
            </w:pPr>
            <w:r w:rsidRPr="00850FF7">
              <w:rPr>
                <w:rStyle w:val="FooterChar"/>
                <w:noProof/>
                <w:color w:val="A6A6A6" w:themeColor="accent3"/>
                <w:lang w:val="sl-SI" w:eastAsia="sl-SI"/>
              </w:rPr>
              <w:drawing>
                <wp:inline distT="0" distB="0" distL="0" distR="0" wp14:anchorId="1DDA76CB" wp14:editId="6B4EA4D2">
                  <wp:extent cx="3093720" cy="2483589"/>
                  <wp:effectExtent l="0" t="0" r="0" b="0"/>
                  <wp:docPr id="42" name="Picture 42" descr="Slika, ki vsebuje besede besedilo, grafični prikaz, vrstica, posnetek zaslon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lika 42" descr="Slika, ki vsebuje besede besedilo, grafični prikaz, vrstica, posnetek zaslona&#10;&#10;Opis je samodejno ustvarj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9160" cy="2487956"/>
                          </a:xfrm>
                          <a:prstGeom prst="rect">
                            <a:avLst/>
                          </a:prstGeom>
                          <a:noFill/>
                        </pic:spPr>
                      </pic:pic>
                    </a:graphicData>
                  </a:graphic>
                </wp:inline>
              </w:drawing>
            </w:r>
          </w:p>
        </w:tc>
        <w:tc>
          <w:tcPr>
            <w:tcW w:w="4741" w:type="dxa"/>
            <w:gridSpan w:val="2"/>
            <w:tcBorders>
              <w:top w:val="single" w:sz="4" w:space="0" w:color="auto"/>
              <w:left w:val="nil"/>
              <w:bottom w:val="nil"/>
              <w:right w:val="nil"/>
            </w:tcBorders>
            <w:tcMar>
              <w:top w:w="113" w:type="dxa"/>
              <w:left w:w="284" w:type="dxa"/>
              <w:bottom w:w="113" w:type="dxa"/>
              <w:right w:w="0" w:type="dxa"/>
            </w:tcMar>
          </w:tcPr>
          <w:p w14:paraId="4CBF716D" w14:textId="31D8E18E" w:rsidR="00C44194" w:rsidRPr="00850FF7" w:rsidRDefault="00C44194" w:rsidP="00345A39">
            <w:pPr>
              <w:rPr>
                <w:rFonts w:eastAsia="Myriad Pro" w:cs="Myriad Pro"/>
                <w:szCs w:val="20"/>
              </w:rPr>
            </w:pPr>
            <w:r w:rsidRPr="00850FF7">
              <w:rPr>
                <w:b/>
                <w:szCs w:val="20"/>
              </w:rPr>
              <w:t xml:space="preserve">Slovenian industrial producer prices fell month-on-month in the second quarter. </w:t>
            </w:r>
            <w:r w:rsidRPr="00850FF7">
              <w:rPr>
                <w:szCs w:val="20"/>
              </w:rPr>
              <w:t>The price cuts are gradually affecting more and more segments.</w:t>
            </w:r>
            <w:r w:rsidRPr="00850FF7">
              <w:rPr>
                <w:b/>
                <w:szCs w:val="20"/>
              </w:rPr>
              <w:t xml:space="preserve"> </w:t>
            </w:r>
            <w:r w:rsidRPr="00850FF7">
              <w:rPr>
                <w:szCs w:val="20"/>
              </w:rPr>
              <w:t>In June, prices fell by 0.5%. Prices of intermediate goods (-1%), capital goods (-0.1%) and, for the first time since May 2021, consumer goods (by 0.3% for both durable and non-durable goods) fell. After reaching almost 20% at the end of last year, year-on-year price growth slowed further to 4.9% in June. In addition to the slowdown in monthly price growth, the base effect remains a major contributor to the lower growth. Due to strong growth in the second half of last year and at the beginning of this year, energy prices still recorded the strongest year-on-year increase (by slightly more than one-fifth in June). The slowdown in price growth for consumer goods (7.9%) has intensified somewhat in recent months, and price increases for intermediate goods (1.3%) and capital goods (4.5%) have also weaken</w:t>
            </w:r>
            <w:r w:rsidR="006B3E32" w:rsidRPr="00850FF7">
              <w:rPr>
                <w:szCs w:val="20"/>
              </w:rPr>
              <w:t>ed further</w:t>
            </w:r>
            <w:r w:rsidRPr="00850FF7">
              <w:rPr>
                <w:szCs w:val="20"/>
              </w:rPr>
              <w:t>.</w:t>
            </w:r>
          </w:p>
        </w:tc>
      </w:tr>
    </w:tbl>
    <w:p w14:paraId="30E46C91" w14:textId="77777777" w:rsidR="00C44194" w:rsidRPr="00850FF7" w:rsidRDefault="00C44194" w:rsidP="00C44194">
      <w:pPr>
        <w:pStyle w:val="Naslov31"/>
        <w:jc w:val="left"/>
      </w:pPr>
    </w:p>
    <w:p w14:paraId="4625D60F" w14:textId="77777777" w:rsidR="00C44194" w:rsidRPr="00850FF7" w:rsidRDefault="00C44194" w:rsidP="00C44194">
      <w:pPr>
        <w:spacing w:after="160" w:line="259" w:lineRule="auto"/>
        <w:jc w:val="left"/>
        <w:rPr>
          <w:b/>
        </w:rPr>
      </w:pPr>
      <w:r w:rsidRPr="00850FF7">
        <w:br w:type="page"/>
      </w:r>
    </w:p>
    <w:tbl>
      <w:tblPr>
        <w:tblStyle w:val="Tabelamrea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4657"/>
      </w:tblGrid>
      <w:tr w:rsidR="00C44194" w:rsidRPr="00850FF7" w14:paraId="5B4D546C" w14:textId="77777777" w:rsidTr="00345A39">
        <w:trPr>
          <w:trHeight w:val="207"/>
        </w:trPr>
        <w:tc>
          <w:tcPr>
            <w:tcW w:w="9639" w:type="dxa"/>
            <w:gridSpan w:val="2"/>
            <w:tcBorders>
              <w:bottom w:val="single" w:sz="4" w:space="0" w:color="auto"/>
            </w:tcBorders>
            <w:tcMar>
              <w:left w:w="0" w:type="dxa"/>
            </w:tcMar>
          </w:tcPr>
          <w:p w14:paraId="3491E00E" w14:textId="77777777" w:rsidR="00C44194" w:rsidRPr="00850FF7" w:rsidRDefault="00C44194" w:rsidP="00345A39">
            <w:pPr>
              <w:rPr>
                <w:b/>
              </w:rPr>
            </w:pPr>
            <w:r w:rsidRPr="00850FF7">
              <w:rPr>
                <w:b/>
              </w:rPr>
              <w:lastRenderedPageBreak/>
              <w:t>Trade in goods – in real terms, June 2023</w:t>
            </w:r>
          </w:p>
        </w:tc>
      </w:tr>
      <w:tr w:rsidR="00C44194" w:rsidRPr="00850FF7" w14:paraId="3EC64649" w14:textId="77777777" w:rsidTr="00345A39">
        <w:trPr>
          <w:trHeight w:val="1134"/>
        </w:trPr>
        <w:tc>
          <w:tcPr>
            <w:tcW w:w="4982" w:type="dxa"/>
            <w:tcBorders>
              <w:top w:val="single" w:sz="4" w:space="0" w:color="auto"/>
            </w:tcBorders>
            <w:tcMar>
              <w:left w:w="0" w:type="dxa"/>
            </w:tcMar>
          </w:tcPr>
          <w:p w14:paraId="40AC9D2F" w14:textId="257E1E87" w:rsidR="00C44194" w:rsidRPr="00850FF7" w:rsidRDefault="00DA7FF8" w:rsidP="00345A39">
            <w:pPr>
              <w:contextualSpacing/>
            </w:pPr>
            <w:bookmarkStart w:id="0" w:name="_GoBack"/>
            <w:r>
              <w:rPr>
                <w:noProof/>
              </w:rPr>
              <w:drawing>
                <wp:inline distT="0" distB="0" distL="0" distR="0" wp14:anchorId="2F44DE27" wp14:editId="1514F14D">
                  <wp:extent cx="3162300" cy="253186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6990" cy="2551628"/>
                          </a:xfrm>
                          <a:prstGeom prst="rect">
                            <a:avLst/>
                          </a:prstGeom>
                          <a:noFill/>
                        </pic:spPr>
                      </pic:pic>
                    </a:graphicData>
                  </a:graphic>
                </wp:inline>
              </w:drawing>
            </w:r>
            <w:bookmarkEnd w:id="0"/>
          </w:p>
        </w:tc>
        <w:tc>
          <w:tcPr>
            <w:tcW w:w="4657" w:type="dxa"/>
            <w:tcBorders>
              <w:top w:val="single" w:sz="4" w:space="0" w:color="auto"/>
            </w:tcBorders>
            <w:tcMar>
              <w:left w:w="284" w:type="dxa"/>
            </w:tcMar>
          </w:tcPr>
          <w:p w14:paraId="3916E7C5" w14:textId="77777777" w:rsidR="00C44194" w:rsidRPr="00850FF7" w:rsidRDefault="00C44194" w:rsidP="00345A39">
            <w:pPr>
              <w:rPr>
                <w:bCs/>
              </w:rPr>
            </w:pPr>
            <w:r w:rsidRPr="00850FF7">
              <w:rPr>
                <w:b/>
              </w:rPr>
              <w:t>In the second quarter, trade in goods slowed compared to the first quarter.</w:t>
            </w:r>
            <w:r w:rsidRPr="00850FF7">
              <w:rPr>
                <w:rStyle w:val="FootnoteReference"/>
                <w:b/>
                <w:bCs/>
              </w:rPr>
              <w:footnoteReference w:id="2"/>
            </w:r>
            <w:r w:rsidRPr="00850FF7">
              <w:t xml:space="preserve"> This is related to a decline in demand from Slovenia’s main trading partners and lower consumption in Slovenia. Real exports of goods fell by 1.2% and imports by 5.3%. Exports and imports of intermediate and consumer goods decreased. Lower trade with EU Member States, especially Italy and Austria (seasonally adjusted), contributed significantly to this decline.</w:t>
            </w:r>
            <w:r w:rsidRPr="00850FF7">
              <w:rPr>
                <w:rStyle w:val="FootnoteReference"/>
                <w:rFonts w:eastAsia="Myriad Pro" w:cs="Myriad Pro"/>
              </w:rPr>
              <w:footnoteReference w:id="3"/>
            </w:r>
            <w:r w:rsidRPr="00850FF7">
              <w:t xml:space="preserve"> The decline in exports and imports in the second quarter was even more pronounced year-on-year (-5.5% and -10.5% respectively). At the beginning of the third quarter, sentiment in export-oriented manufacturing activities remained very low in Slovenia. Also in the third quarter, companies indicate that the main limiting factors to business operations are related to the uncertain economic situation, low domestic and foreign demand and the lack of skilled labour.</w:t>
            </w:r>
          </w:p>
        </w:tc>
      </w:tr>
    </w:tbl>
    <w:p w14:paraId="57833091" w14:textId="77777777" w:rsidR="00C44194" w:rsidRPr="00850FF7" w:rsidRDefault="00C44194" w:rsidP="00C44194">
      <w:pPr>
        <w:pStyle w:val="Naslov31"/>
        <w:jc w:val="left"/>
      </w:pPr>
    </w:p>
    <w:p w14:paraId="5EEB008B" w14:textId="77777777" w:rsidR="00C44194" w:rsidRPr="00850FF7" w:rsidRDefault="00C44194" w:rsidP="00C44194">
      <w:pPr>
        <w:pStyle w:val="Naslov31"/>
        <w:jc w:val="left"/>
      </w:pPr>
    </w:p>
    <w:tbl>
      <w:tblPr>
        <w:tblStyle w:val="Tabelamrea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4657"/>
      </w:tblGrid>
      <w:tr w:rsidR="00C44194" w:rsidRPr="00850FF7" w14:paraId="064AD76F" w14:textId="77777777" w:rsidTr="00345A39">
        <w:trPr>
          <w:trHeight w:val="207"/>
        </w:trPr>
        <w:tc>
          <w:tcPr>
            <w:tcW w:w="9639" w:type="dxa"/>
            <w:gridSpan w:val="2"/>
            <w:tcBorders>
              <w:bottom w:val="single" w:sz="4" w:space="0" w:color="auto"/>
            </w:tcBorders>
            <w:tcMar>
              <w:left w:w="0" w:type="dxa"/>
            </w:tcMar>
          </w:tcPr>
          <w:p w14:paraId="7C98A04E" w14:textId="77777777" w:rsidR="00C44194" w:rsidRPr="00850FF7" w:rsidRDefault="00C44194" w:rsidP="00345A39">
            <w:pPr>
              <w:rPr>
                <w:b/>
              </w:rPr>
            </w:pPr>
            <w:r w:rsidRPr="00850FF7">
              <w:rPr>
                <w:b/>
                <w:bCs/>
              </w:rPr>
              <w:t>Current account of the balance of payments, June 2023</w:t>
            </w:r>
          </w:p>
        </w:tc>
      </w:tr>
      <w:tr w:rsidR="00C44194" w:rsidRPr="00850FF7" w14:paraId="08A9D9FA" w14:textId="77777777" w:rsidTr="00345A39">
        <w:trPr>
          <w:trHeight w:val="1134"/>
        </w:trPr>
        <w:tc>
          <w:tcPr>
            <w:tcW w:w="4982" w:type="dxa"/>
            <w:tcBorders>
              <w:top w:val="single" w:sz="4" w:space="0" w:color="auto"/>
            </w:tcBorders>
            <w:tcMar>
              <w:left w:w="0" w:type="dxa"/>
            </w:tcMar>
          </w:tcPr>
          <w:p w14:paraId="003783FC" w14:textId="66524B13" w:rsidR="00C44194" w:rsidRPr="00850FF7" w:rsidRDefault="00DA7FF8" w:rsidP="00345A39">
            <w:pPr>
              <w:contextualSpacing/>
            </w:pPr>
            <w:r>
              <w:rPr>
                <w:noProof/>
              </w:rPr>
              <w:drawing>
                <wp:inline distT="0" distB="0" distL="0" distR="0" wp14:anchorId="65B77D10" wp14:editId="06DEC994">
                  <wp:extent cx="3139440" cy="257986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5678" cy="2593210"/>
                          </a:xfrm>
                          <a:prstGeom prst="rect">
                            <a:avLst/>
                          </a:prstGeom>
                          <a:noFill/>
                        </pic:spPr>
                      </pic:pic>
                    </a:graphicData>
                  </a:graphic>
                </wp:inline>
              </w:drawing>
            </w:r>
          </w:p>
        </w:tc>
        <w:tc>
          <w:tcPr>
            <w:tcW w:w="4657" w:type="dxa"/>
            <w:tcBorders>
              <w:top w:val="single" w:sz="4" w:space="0" w:color="auto"/>
            </w:tcBorders>
            <w:tcMar>
              <w:left w:w="284" w:type="dxa"/>
            </w:tcMar>
          </w:tcPr>
          <w:p w14:paraId="6CCF1909" w14:textId="76349A8D" w:rsidR="00C44194" w:rsidRPr="00850FF7" w:rsidRDefault="00C44194" w:rsidP="00345A39">
            <w:r w:rsidRPr="00850FF7">
              <w:rPr>
                <w:rStyle w:val="Strong"/>
              </w:rPr>
              <w:t>The surplus on the current account of the balance of payments was high in the second quarter of this year (EUR 1.4 billion).</w:t>
            </w:r>
            <w:r w:rsidRPr="00850FF7">
              <w:t xml:space="preserve"> The largest contribution to the improvement of the current account balance came from the goods trade balance, which turned from a deficit to a surplus. While goods exports declined only slightly year-on-year in the second quarter, the decline in imports was much larger and the terms of trade improved. We estimate that the quantity fluctuations contributed EUR 1 billion to the year-on-year change in the balance of goods trade in the second quarter (EUR 1.3 billion) and the terms of trade contributed EUR 0.3 billion. The growth of the services surplus continued, especially in trade in transport services. The decline in imports of transport services was much larger than the decline in exports, which is related to the development of trade in goods. </w:t>
            </w:r>
            <w:r w:rsidR="0074099C" w:rsidRPr="00850FF7">
              <w:t>T</w:t>
            </w:r>
            <w:r w:rsidRPr="00850FF7">
              <w:t>he primary income deficit was</w:t>
            </w:r>
            <w:r w:rsidR="0074099C" w:rsidRPr="00850FF7">
              <w:t xml:space="preserve"> also</w:t>
            </w:r>
            <w:r w:rsidRPr="00850FF7">
              <w:t xml:space="preserve"> lower year-on-year in the second quarter. This was mainly due to lower net outflows of dividends and profits and higher net interest receipts by the government and the Bank of Slovenia from deposits in foreign accounts. The higher secondary income deficit arose from higher government and private sector transfers abroad. The 12-month current account balance showed a surplus of EUR 1.7 billion in June (2.7% of estimated GDP for 2023).</w:t>
            </w:r>
          </w:p>
          <w:p w14:paraId="60005AD7" w14:textId="77777777" w:rsidR="00C44194" w:rsidRPr="00850FF7" w:rsidRDefault="00C44194" w:rsidP="00345A39"/>
        </w:tc>
      </w:tr>
    </w:tbl>
    <w:tbl>
      <w:tblPr>
        <w:tblStyle w:val="Tabelamre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4657"/>
      </w:tblGrid>
      <w:tr w:rsidR="00C44194" w:rsidRPr="00850FF7" w14:paraId="44AD3B04" w14:textId="77777777" w:rsidTr="00345A39">
        <w:trPr>
          <w:trHeight w:val="207"/>
        </w:trPr>
        <w:tc>
          <w:tcPr>
            <w:tcW w:w="9639" w:type="dxa"/>
            <w:gridSpan w:val="2"/>
            <w:tcBorders>
              <w:bottom w:val="single" w:sz="4" w:space="0" w:color="auto"/>
            </w:tcBorders>
            <w:tcMar>
              <w:left w:w="0" w:type="dxa"/>
            </w:tcMar>
          </w:tcPr>
          <w:p w14:paraId="0934ABBE" w14:textId="37489377" w:rsidR="00C44194" w:rsidRPr="00850FF7" w:rsidRDefault="00C44194" w:rsidP="00345A39">
            <w:pPr>
              <w:rPr>
                <w:b/>
              </w:rPr>
            </w:pPr>
            <w:r w:rsidRPr="00850FF7">
              <w:lastRenderedPageBreak/>
              <w:t xml:space="preserve"> </w:t>
            </w:r>
            <w:r w:rsidRPr="00850FF7">
              <w:rPr>
                <w:b/>
              </w:rPr>
              <w:t>Activity in construction, June 2023</w:t>
            </w:r>
          </w:p>
        </w:tc>
      </w:tr>
      <w:tr w:rsidR="00C44194" w:rsidRPr="00850FF7" w14:paraId="68F65D04" w14:textId="77777777" w:rsidTr="00345A39">
        <w:trPr>
          <w:trHeight w:val="1134"/>
        </w:trPr>
        <w:tc>
          <w:tcPr>
            <w:tcW w:w="4982" w:type="dxa"/>
            <w:tcBorders>
              <w:top w:val="single" w:sz="4" w:space="0" w:color="auto"/>
            </w:tcBorders>
            <w:tcMar>
              <w:left w:w="0" w:type="dxa"/>
            </w:tcMar>
          </w:tcPr>
          <w:p w14:paraId="44BDDBA0" w14:textId="68031C8D" w:rsidR="00C44194" w:rsidRPr="00850FF7" w:rsidRDefault="004E6F6A" w:rsidP="00345A39">
            <w:pPr>
              <w:contextualSpacing/>
            </w:pPr>
            <w:r w:rsidRPr="00850FF7">
              <w:rPr>
                <w:noProof/>
                <w:lang w:val="sl-SI" w:eastAsia="sl-SI"/>
              </w:rPr>
              <w:drawing>
                <wp:inline distT="0" distB="0" distL="0" distR="0" wp14:anchorId="5A6B3466" wp14:editId="2EFB11C9">
                  <wp:extent cx="3177540" cy="2597455"/>
                  <wp:effectExtent l="0" t="0" r="3810" b="0"/>
                  <wp:docPr id="34" name="Picture 34" descr="Slika, ki vsebuje besede besedilo, posnetek zaslona, grafični prikaz, vrstic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lika 34" descr="Slika, ki vsebuje besede besedilo, posnetek zaslona, grafični prikaz, vrstica&#10;&#10;Opis je samodejno ustvarj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1661" cy="2600823"/>
                          </a:xfrm>
                          <a:prstGeom prst="rect">
                            <a:avLst/>
                          </a:prstGeom>
                          <a:noFill/>
                        </pic:spPr>
                      </pic:pic>
                    </a:graphicData>
                  </a:graphic>
                </wp:inline>
              </w:drawing>
            </w:r>
          </w:p>
        </w:tc>
        <w:tc>
          <w:tcPr>
            <w:tcW w:w="4657" w:type="dxa"/>
            <w:tcBorders>
              <w:top w:val="single" w:sz="4" w:space="0" w:color="auto"/>
            </w:tcBorders>
            <w:tcMar>
              <w:left w:w="284" w:type="dxa"/>
            </w:tcMar>
          </w:tcPr>
          <w:p w14:paraId="429F546E" w14:textId="77777777" w:rsidR="00C44194" w:rsidRPr="00850FF7" w:rsidRDefault="00C44194" w:rsidP="00345A39">
            <w:pPr>
              <w:rPr>
                <w:rFonts w:eastAsia="Myriad Pro" w:cs="Myriad Pro"/>
              </w:rPr>
            </w:pPr>
            <w:r w:rsidRPr="00850FF7">
              <w:rPr>
                <w:b/>
              </w:rPr>
              <w:t xml:space="preserve">According to data on the value of construction work put in place, construction activity in the second quarter was again significantly higher than last year. </w:t>
            </w:r>
            <w:r w:rsidRPr="00850FF7">
              <w:t xml:space="preserve">After recording high growth at the beginning of the year, the value of construction work put in place remained roughly unchanged in the second quarter. Compared to the second quarter of last year, it was 24% higher. As regards specialised construction activities, it went up by 49%, as regards civil engineering by 21% and as regards building construction by 12%. </w:t>
            </w:r>
          </w:p>
          <w:p w14:paraId="7576C87D" w14:textId="73D175D4" w:rsidR="00C44194" w:rsidRPr="00850FF7" w:rsidRDefault="00C44194" w:rsidP="00345A39">
            <w:r w:rsidRPr="00850FF7">
              <w:t xml:space="preserve">However, some other data suggest significantly lower year-on-year growth in construction activity. According to VAT data, the activity of construction companies in the second quarter was 12% higher than the same period last year. Data on the value of industrial production in two activities traditionally strongly linked to construction also do not point to such high growth. Production in other mining and quarrying was 12% lower in the second quarter than in the same </w:t>
            </w:r>
            <w:r w:rsidR="0074099C" w:rsidRPr="00850FF7">
              <w:t>quarter</w:t>
            </w:r>
            <w:r w:rsidRPr="00850FF7">
              <w:t xml:space="preserve"> of 2022, while it was 13% lower in the manufacture of other non-metallic mineral products.</w:t>
            </w:r>
          </w:p>
        </w:tc>
      </w:tr>
    </w:tbl>
    <w:p w14:paraId="4E5B5B29" w14:textId="77777777" w:rsidR="00C44194" w:rsidRPr="00850FF7" w:rsidRDefault="00C44194" w:rsidP="00C44194"/>
    <w:p w14:paraId="21C525A3" w14:textId="77777777" w:rsidR="00C44194" w:rsidRPr="00850FF7" w:rsidRDefault="00C44194" w:rsidP="00C44194"/>
    <w:p w14:paraId="2341ADB7" w14:textId="77777777" w:rsidR="00C44194" w:rsidRPr="00850FF7" w:rsidRDefault="00C44194" w:rsidP="00C44194"/>
    <w:tbl>
      <w:tblPr>
        <w:tblStyle w:val="Tabelamrea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4657"/>
      </w:tblGrid>
      <w:tr w:rsidR="00C44194" w:rsidRPr="00850FF7" w14:paraId="2FCD50F5" w14:textId="77777777" w:rsidTr="00345A39">
        <w:trPr>
          <w:trHeight w:val="207"/>
        </w:trPr>
        <w:tc>
          <w:tcPr>
            <w:tcW w:w="9639" w:type="dxa"/>
            <w:gridSpan w:val="2"/>
            <w:tcBorders>
              <w:bottom w:val="single" w:sz="4" w:space="0" w:color="auto"/>
            </w:tcBorders>
            <w:tcMar>
              <w:left w:w="0" w:type="dxa"/>
            </w:tcMar>
          </w:tcPr>
          <w:p w14:paraId="29B2149B" w14:textId="77777777" w:rsidR="00C44194" w:rsidRPr="00850FF7" w:rsidRDefault="00C44194" w:rsidP="00345A39">
            <w:pPr>
              <w:rPr>
                <w:b/>
              </w:rPr>
            </w:pPr>
            <w:r w:rsidRPr="00850FF7">
              <w:rPr>
                <w:b/>
                <w:bCs/>
              </w:rPr>
              <w:t>Production volume in manufacturing, June 2023</w:t>
            </w:r>
          </w:p>
        </w:tc>
      </w:tr>
      <w:tr w:rsidR="00C44194" w:rsidRPr="00850FF7" w14:paraId="70E2AC2A" w14:textId="77777777" w:rsidTr="00345A39">
        <w:trPr>
          <w:trHeight w:val="1134"/>
        </w:trPr>
        <w:tc>
          <w:tcPr>
            <w:tcW w:w="4982" w:type="dxa"/>
            <w:tcBorders>
              <w:top w:val="single" w:sz="4" w:space="0" w:color="auto"/>
            </w:tcBorders>
            <w:tcMar>
              <w:left w:w="0" w:type="dxa"/>
            </w:tcMar>
          </w:tcPr>
          <w:p w14:paraId="72A787E4" w14:textId="10F33A15" w:rsidR="00C44194" w:rsidRPr="00850FF7" w:rsidRDefault="004E6F6A" w:rsidP="00345A39">
            <w:pPr>
              <w:contextualSpacing/>
            </w:pPr>
            <w:r w:rsidRPr="00850FF7">
              <w:rPr>
                <w:noProof/>
                <w:lang w:val="sl-SI" w:eastAsia="sl-SI"/>
              </w:rPr>
              <w:drawing>
                <wp:inline distT="0" distB="0" distL="0" distR="0" wp14:anchorId="5E07E050" wp14:editId="30906575">
                  <wp:extent cx="3206686" cy="2621280"/>
                  <wp:effectExtent l="0" t="0" r="0" b="7620"/>
                  <wp:docPr id="33" name="Picture 33" descr="Slika, ki vsebuje besede besedilo, grafični prikaz, vrstica, pisav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lika 33" descr="Slika, ki vsebuje besede besedilo, grafični prikaz, vrstica, pisava&#10;&#10;Opis je samodejno ustvarj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11675" cy="2625358"/>
                          </a:xfrm>
                          <a:prstGeom prst="rect">
                            <a:avLst/>
                          </a:prstGeom>
                          <a:noFill/>
                        </pic:spPr>
                      </pic:pic>
                    </a:graphicData>
                  </a:graphic>
                </wp:inline>
              </w:drawing>
            </w:r>
          </w:p>
        </w:tc>
        <w:tc>
          <w:tcPr>
            <w:tcW w:w="4657" w:type="dxa"/>
            <w:tcBorders>
              <w:top w:val="single" w:sz="4" w:space="0" w:color="auto"/>
            </w:tcBorders>
            <w:tcMar>
              <w:left w:w="284" w:type="dxa"/>
            </w:tcMar>
          </w:tcPr>
          <w:p w14:paraId="20151B35" w14:textId="77777777" w:rsidR="00C44194" w:rsidRPr="00850FF7" w:rsidRDefault="00C44194" w:rsidP="00345A39">
            <w:pPr>
              <w:rPr>
                <w:rFonts w:eastAsia="Myriad Pro" w:cs="Myriad Pro"/>
              </w:rPr>
            </w:pPr>
            <w:r w:rsidRPr="00850FF7">
              <w:rPr>
                <w:b/>
              </w:rPr>
              <w:t xml:space="preserve">Manufacturing output recovered in May and June, but remained lower in the second quarter than in the first (down 2.3% seasonally adjusted) due to a sharp decline in April. </w:t>
            </w:r>
            <w:r w:rsidRPr="00850FF7">
              <w:t xml:space="preserve">Only output in high-technology industries increased, surpassing the level of the same period last year also in the second quarter. Output in medium-high-technology industries remained higher than a year ago, with the exception of the energy-intensive chemical industry. In the latter, as in other energy-intensive industries, the year-on-year decline intensified. In most other low- and medium-technology industries, the year-on-year decline was also stronger than in the first quarter. </w:t>
            </w:r>
          </w:p>
          <w:p w14:paraId="64C190F3" w14:textId="72B8C8A3" w:rsidR="00C44194" w:rsidRPr="00850FF7" w:rsidRDefault="00C44194" w:rsidP="00345A39">
            <w:pPr>
              <w:rPr>
                <w:rFonts w:eastAsia="Myriad Pro" w:cs="Myriad Pro"/>
              </w:rPr>
            </w:pPr>
            <w:r w:rsidRPr="00850FF7">
              <w:t>The outlook for manufacturing remains weak. According to data on business trends, in July, most companies surveyed expect</w:t>
            </w:r>
            <w:r w:rsidR="00DE1E05">
              <w:t>e</w:t>
            </w:r>
            <w:r w:rsidR="00345A39">
              <w:t>d</w:t>
            </w:r>
            <w:r w:rsidRPr="00850FF7">
              <w:t xml:space="preserve"> exports to decline in the coming three months.</w:t>
            </w:r>
          </w:p>
        </w:tc>
      </w:tr>
    </w:tbl>
    <w:p w14:paraId="42F3CB0F" w14:textId="77777777" w:rsidR="00C44194" w:rsidRPr="00850FF7" w:rsidRDefault="00C44194" w:rsidP="00C44194">
      <w:r w:rsidRPr="00850FF7">
        <w:br w:type="page"/>
      </w:r>
    </w:p>
    <w:tbl>
      <w:tblPr>
        <w:tblStyle w:val="Tabelamrea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4657"/>
      </w:tblGrid>
      <w:tr w:rsidR="00C44194" w:rsidRPr="00850FF7" w14:paraId="2DBF0125" w14:textId="77777777" w:rsidTr="00345A39">
        <w:trPr>
          <w:trHeight w:val="207"/>
        </w:trPr>
        <w:tc>
          <w:tcPr>
            <w:tcW w:w="9639" w:type="dxa"/>
            <w:gridSpan w:val="2"/>
            <w:tcBorders>
              <w:bottom w:val="single" w:sz="4" w:space="0" w:color="auto"/>
            </w:tcBorders>
            <w:tcMar>
              <w:left w:w="0" w:type="dxa"/>
            </w:tcMar>
          </w:tcPr>
          <w:p w14:paraId="1DC1C569" w14:textId="77777777" w:rsidR="00C44194" w:rsidRPr="00850FF7" w:rsidRDefault="00C44194" w:rsidP="00345A39">
            <w:pPr>
              <w:rPr>
                <w:b/>
              </w:rPr>
            </w:pPr>
            <w:r w:rsidRPr="00850FF7">
              <w:rPr>
                <w:b/>
              </w:rPr>
              <w:lastRenderedPageBreak/>
              <w:t>Turnover in trade, May–June 2023</w:t>
            </w:r>
          </w:p>
        </w:tc>
      </w:tr>
      <w:tr w:rsidR="00C44194" w:rsidRPr="00850FF7" w14:paraId="0187A821" w14:textId="77777777" w:rsidTr="00345A39">
        <w:trPr>
          <w:trHeight w:val="1134"/>
        </w:trPr>
        <w:tc>
          <w:tcPr>
            <w:tcW w:w="4982" w:type="dxa"/>
            <w:tcBorders>
              <w:top w:val="single" w:sz="4" w:space="0" w:color="auto"/>
            </w:tcBorders>
            <w:tcMar>
              <w:left w:w="0" w:type="dxa"/>
            </w:tcMar>
          </w:tcPr>
          <w:p w14:paraId="139BC488" w14:textId="4BDB5311" w:rsidR="00C44194" w:rsidRPr="00850FF7" w:rsidRDefault="001F5B3E" w:rsidP="00345A39">
            <w:pPr>
              <w:contextualSpacing/>
            </w:pPr>
            <w:r w:rsidRPr="00850FF7">
              <w:rPr>
                <w:noProof/>
                <w:lang w:val="sl-SI" w:eastAsia="sl-SI"/>
              </w:rPr>
              <w:drawing>
                <wp:inline distT="0" distB="0" distL="0" distR="0" wp14:anchorId="380E9974" wp14:editId="0C249DB6">
                  <wp:extent cx="3188043" cy="2606040"/>
                  <wp:effectExtent l="0" t="0" r="0" b="3810"/>
                  <wp:docPr id="35" name="Picture 35" descr="Slika, ki vsebuje besede besedilo, grafični prikaz, vrstic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lika 35" descr="Slika, ki vsebuje besede besedilo, grafični prikaz, vrstica, diagram&#10;&#10;Opis je samodejno ustvarj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91357" cy="2608749"/>
                          </a:xfrm>
                          <a:prstGeom prst="rect">
                            <a:avLst/>
                          </a:prstGeom>
                          <a:noFill/>
                        </pic:spPr>
                      </pic:pic>
                    </a:graphicData>
                  </a:graphic>
                </wp:inline>
              </w:drawing>
            </w:r>
          </w:p>
        </w:tc>
        <w:tc>
          <w:tcPr>
            <w:tcW w:w="4657" w:type="dxa"/>
            <w:tcBorders>
              <w:top w:val="single" w:sz="4" w:space="0" w:color="auto"/>
            </w:tcBorders>
            <w:tcMar>
              <w:left w:w="284" w:type="dxa"/>
            </w:tcMar>
          </w:tcPr>
          <w:p w14:paraId="59CF51F2" w14:textId="77777777" w:rsidR="00C44194" w:rsidRPr="00850FF7" w:rsidRDefault="00C44194" w:rsidP="00345A39">
            <w:pPr>
              <w:rPr>
                <w:rStyle w:val="normaltextrun"/>
              </w:rPr>
            </w:pPr>
            <w:r w:rsidRPr="00850FF7">
              <w:rPr>
                <w:rStyle w:val="normaltextrun"/>
                <w:b/>
              </w:rPr>
              <w:t xml:space="preserve">In most trade sectors, real income continued to fall in May and, according to preliminary data, also in June; only in the sale of motor vehicles it remained higher year-on-year. </w:t>
            </w:r>
            <w:r w:rsidRPr="00850FF7">
              <w:t>Turnover in the sale of motor vehicles, which has been rising in current terms since the second half of last year, was up by 10% year-on-year in May.</w:t>
            </w:r>
            <w:r w:rsidRPr="00850FF7">
              <w:rPr>
                <w:rStyle w:val="normaltextrun"/>
              </w:rPr>
              <w:t xml:space="preserve"> In the other two sectors, namely wholesale and retail trade (excluding automotive fuel), turnover was about 5% lower year-on-year in May. </w:t>
            </w:r>
            <w:r w:rsidRPr="00850FF7">
              <w:t>Turnover in retail sale of food, beverages and tobacco fell by 3%, while in the sale of non-food products it fell by 7%.</w:t>
            </w:r>
            <w:r w:rsidRPr="00850FF7">
              <w:rPr>
                <w:shd w:val="clear" w:color="auto" w:fill="FFFFFF"/>
              </w:rPr>
              <w:t xml:space="preserve"> Among non-food products, the largest year-on-year decline was seen in the sale of durable and certain semi-durable goods, as has been the case all year.</w:t>
            </w:r>
            <w:r w:rsidRPr="00850FF7">
              <w:rPr>
                <w:rStyle w:val="FootnoteReference"/>
                <w:shd w:val="clear" w:color="auto" w:fill="FFFFFF"/>
              </w:rPr>
              <w:footnoteReference w:id="4"/>
            </w:r>
            <w:r w:rsidRPr="00850FF7">
              <w:rPr>
                <w:shd w:val="clear" w:color="auto" w:fill="FFFFFF"/>
              </w:rPr>
              <w:t xml:space="preserve"> </w:t>
            </w:r>
            <w:r w:rsidRPr="00850FF7">
              <w:rPr>
                <w:rStyle w:val="normaltextrun"/>
              </w:rPr>
              <w:t>According to preliminary SURS data, turnover in June was still lower year-on-year in retail trade and higher in the sale of motor vehicles.</w:t>
            </w:r>
          </w:p>
        </w:tc>
      </w:tr>
    </w:tbl>
    <w:p w14:paraId="4C49AD17" w14:textId="77777777" w:rsidR="00C44194" w:rsidRPr="00850FF7" w:rsidRDefault="00C44194" w:rsidP="00C44194"/>
    <w:p w14:paraId="4182208D" w14:textId="77777777" w:rsidR="00C44194" w:rsidRPr="00850FF7" w:rsidRDefault="00C44194" w:rsidP="00C44194"/>
    <w:p w14:paraId="38279452" w14:textId="77777777" w:rsidR="00C44194" w:rsidRPr="00850FF7" w:rsidRDefault="00C44194" w:rsidP="00C44194"/>
    <w:tbl>
      <w:tblPr>
        <w:tblStyle w:val="Tabelamrea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822"/>
        <w:gridCol w:w="2835"/>
      </w:tblGrid>
      <w:tr w:rsidR="00C44194" w:rsidRPr="00850FF7" w14:paraId="457390AA" w14:textId="77777777" w:rsidTr="00345A39">
        <w:trPr>
          <w:trHeight w:val="207"/>
        </w:trPr>
        <w:tc>
          <w:tcPr>
            <w:tcW w:w="6804" w:type="dxa"/>
            <w:gridSpan w:val="2"/>
            <w:tcBorders>
              <w:bottom w:val="single" w:sz="4" w:space="0" w:color="auto"/>
            </w:tcBorders>
            <w:tcMar>
              <w:left w:w="0" w:type="dxa"/>
            </w:tcMar>
          </w:tcPr>
          <w:p w14:paraId="6171D21F" w14:textId="77777777" w:rsidR="00C44194" w:rsidRPr="00850FF7" w:rsidRDefault="00C44194" w:rsidP="00345A39">
            <w:pPr>
              <w:jc w:val="left"/>
              <w:rPr>
                <w:b/>
              </w:rPr>
            </w:pPr>
            <w:r w:rsidRPr="00850FF7">
              <w:rPr>
                <w:b/>
              </w:rPr>
              <w:t>Value of fiscally verified invoices – in nominal terms, 23 July–5 August 2023</w:t>
            </w:r>
          </w:p>
        </w:tc>
        <w:tc>
          <w:tcPr>
            <w:tcW w:w="2835" w:type="dxa"/>
            <w:tcBorders>
              <w:bottom w:val="single" w:sz="4" w:space="0" w:color="auto"/>
            </w:tcBorders>
          </w:tcPr>
          <w:p w14:paraId="6696E246" w14:textId="77777777" w:rsidR="00C44194" w:rsidRPr="00850FF7" w:rsidRDefault="00C44194" w:rsidP="00345A39">
            <w:pPr>
              <w:rPr>
                <w:b/>
              </w:rPr>
            </w:pPr>
          </w:p>
        </w:tc>
      </w:tr>
      <w:tr w:rsidR="00C44194" w:rsidRPr="00850FF7" w14:paraId="62870AB6" w14:textId="77777777" w:rsidTr="00345A39">
        <w:trPr>
          <w:trHeight w:val="1134"/>
        </w:trPr>
        <w:tc>
          <w:tcPr>
            <w:tcW w:w="4982" w:type="dxa"/>
            <w:tcBorders>
              <w:top w:val="single" w:sz="4" w:space="0" w:color="auto"/>
            </w:tcBorders>
            <w:tcMar>
              <w:left w:w="0" w:type="dxa"/>
            </w:tcMar>
          </w:tcPr>
          <w:p w14:paraId="7D819F8C" w14:textId="78D37C3C" w:rsidR="00C44194" w:rsidRPr="00850FF7" w:rsidRDefault="008A523C" w:rsidP="00345A39">
            <w:pPr>
              <w:contextualSpacing/>
            </w:pPr>
            <w:r>
              <w:rPr>
                <w:noProof/>
              </w:rPr>
              <w:drawing>
                <wp:inline distT="0" distB="0" distL="0" distR="0" wp14:anchorId="645689BA" wp14:editId="303C4856">
                  <wp:extent cx="3173029" cy="2567940"/>
                  <wp:effectExtent l="0" t="0" r="889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8565" cy="2572420"/>
                          </a:xfrm>
                          <a:prstGeom prst="rect">
                            <a:avLst/>
                          </a:prstGeom>
                          <a:noFill/>
                        </pic:spPr>
                      </pic:pic>
                    </a:graphicData>
                  </a:graphic>
                </wp:inline>
              </w:drawing>
            </w:r>
          </w:p>
          <w:p w14:paraId="70D2BD3C" w14:textId="77777777" w:rsidR="00C44194" w:rsidRPr="00850FF7" w:rsidRDefault="00C44194" w:rsidP="00345A39">
            <w:pPr>
              <w:contextualSpacing/>
            </w:pPr>
          </w:p>
        </w:tc>
        <w:tc>
          <w:tcPr>
            <w:tcW w:w="4657" w:type="dxa"/>
            <w:gridSpan w:val="2"/>
            <w:tcBorders>
              <w:top w:val="single" w:sz="4" w:space="0" w:color="auto"/>
            </w:tcBorders>
            <w:tcMar>
              <w:left w:w="284" w:type="dxa"/>
            </w:tcMar>
          </w:tcPr>
          <w:p w14:paraId="5FB29EE8" w14:textId="35F61378" w:rsidR="00C44194" w:rsidRPr="00850FF7" w:rsidRDefault="00C44194" w:rsidP="00345A39">
            <w:pPr>
              <w:rPr>
                <w:color w:val="DBDBDB" w:themeColor="background2"/>
              </w:rPr>
            </w:pPr>
            <w:r w:rsidRPr="00850FF7">
              <w:rPr>
                <w:b/>
                <w:color w:val="000000" w:themeColor="text1"/>
              </w:rPr>
              <w:t>The nominal value of fiscally verified invoices between 23 July and 5 August 2023 was 2% higher year-on-year.</w:t>
            </w:r>
            <w:r w:rsidRPr="00850FF7">
              <w:rPr>
                <w:color w:val="000000" w:themeColor="text1"/>
              </w:rPr>
              <w:t xml:space="preserve"> The slightly lower growth than in the previous two 14-day periods is also due to lower sales as a result of the floods that hit Slovenia in the beginning of August. The 3% year-on-year growth of turnover in trade was mainly due to the sale of motor vehicles (20%) and wholesale trade (2%), while retail trade was slightly lower than last year. Turnover growth in accommodation and food service activities also halved (to 7%) after rising in the previous 14-day period (following weaker </w:t>
            </w:r>
            <w:r w:rsidR="006B69EC">
              <w:rPr>
                <w:color w:val="000000" w:themeColor="text1"/>
              </w:rPr>
              <w:t>result</w:t>
            </w:r>
            <w:r w:rsidR="00851672">
              <w:rPr>
                <w:color w:val="000000" w:themeColor="text1"/>
              </w:rPr>
              <w:t>s</w:t>
            </w:r>
            <w:r w:rsidRPr="00850FF7">
              <w:rPr>
                <w:color w:val="000000" w:themeColor="text1"/>
              </w:rPr>
              <w:t xml:space="preserve"> in the second half of June due to high sales last year before the expiry of the deadline for the redemption of tourism vouchers).</w:t>
            </w:r>
          </w:p>
        </w:tc>
      </w:tr>
    </w:tbl>
    <w:p w14:paraId="71B2DF8D" w14:textId="77777777" w:rsidR="00C44194" w:rsidRPr="00850FF7" w:rsidRDefault="00C44194" w:rsidP="00C44194">
      <w:r w:rsidRPr="00850FF7">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19"/>
        <w:gridCol w:w="163"/>
        <w:gridCol w:w="4657"/>
      </w:tblGrid>
      <w:tr w:rsidR="00C44194" w:rsidRPr="00850FF7" w14:paraId="25E40D6D" w14:textId="77777777" w:rsidTr="00345A39">
        <w:trPr>
          <w:trHeight w:val="207"/>
        </w:trPr>
        <w:tc>
          <w:tcPr>
            <w:tcW w:w="4819" w:type="dxa"/>
            <w:tcBorders>
              <w:bottom w:val="single" w:sz="4" w:space="0" w:color="auto"/>
            </w:tcBorders>
            <w:tcMar>
              <w:left w:w="0" w:type="dxa"/>
            </w:tcMar>
          </w:tcPr>
          <w:p w14:paraId="76371297" w14:textId="77777777" w:rsidR="00C44194" w:rsidRPr="00850FF7" w:rsidRDefault="00C44194" w:rsidP="00345A39">
            <w:pPr>
              <w:pStyle w:val="Naslov31"/>
              <w:jc w:val="left"/>
            </w:pPr>
            <w:r w:rsidRPr="00850FF7">
              <w:lastRenderedPageBreak/>
              <w:t>Turnover in market services, May 2023</w:t>
            </w:r>
          </w:p>
        </w:tc>
        <w:tc>
          <w:tcPr>
            <w:tcW w:w="4820" w:type="dxa"/>
            <w:gridSpan w:val="2"/>
            <w:tcBorders>
              <w:bottom w:val="single" w:sz="4" w:space="0" w:color="auto"/>
            </w:tcBorders>
          </w:tcPr>
          <w:p w14:paraId="39D11A20" w14:textId="77777777" w:rsidR="00C44194" w:rsidRPr="00850FF7" w:rsidRDefault="00C44194" w:rsidP="00345A39">
            <w:pPr>
              <w:pStyle w:val="Naslov31"/>
            </w:pPr>
          </w:p>
        </w:tc>
      </w:tr>
      <w:tr w:rsidR="00C44194" w:rsidRPr="00850FF7" w14:paraId="371C0CC9" w14:textId="77777777" w:rsidTr="00345A39">
        <w:trPr>
          <w:trHeight w:val="1134"/>
        </w:trPr>
        <w:tc>
          <w:tcPr>
            <w:tcW w:w="4982" w:type="dxa"/>
            <w:gridSpan w:val="2"/>
            <w:tcBorders>
              <w:top w:val="single" w:sz="4" w:space="0" w:color="auto"/>
            </w:tcBorders>
            <w:tcMar>
              <w:left w:w="0" w:type="dxa"/>
            </w:tcMar>
          </w:tcPr>
          <w:p w14:paraId="38E3D33C" w14:textId="06B16CD1" w:rsidR="00C44194" w:rsidRPr="00850FF7" w:rsidRDefault="004E6F6A" w:rsidP="00345A39">
            <w:pPr>
              <w:pStyle w:val="ListParagraph"/>
              <w:ind w:left="0"/>
            </w:pPr>
            <w:r w:rsidRPr="00850FF7">
              <w:rPr>
                <w:noProof/>
                <w:lang w:val="sl-SI" w:eastAsia="sl-SI"/>
              </w:rPr>
              <w:drawing>
                <wp:inline distT="0" distB="0" distL="0" distR="0" wp14:anchorId="5FA83962" wp14:editId="2C8374F8">
                  <wp:extent cx="3185301" cy="2628900"/>
                  <wp:effectExtent l="0" t="0" r="0" b="0"/>
                  <wp:docPr id="36" name="Picture 36" descr="Slika, ki vsebuje besede besedilo, posnetek zaslona, vrstica, grafični prikaz&#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lika 36" descr="Slika, ki vsebuje besede besedilo, posnetek zaslona, vrstica, grafični prikaz&#10;&#10;Opis je samodejno ustvarj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89035" cy="2631982"/>
                          </a:xfrm>
                          <a:prstGeom prst="rect">
                            <a:avLst/>
                          </a:prstGeom>
                          <a:noFill/>
                        </pic:spPr>
                      </pic:pic>
                    </a:graphicData>
                  </a:graphic>
                </wp:inline>
              </w:drawing>
            </w:r>
          </w:p>
          <w:p w14:paraId="172B66F6" w14:textId="77777777" w:rsidR="00C44194" w:rsidRPr="00850FF7" w:rsidRDefault="00C44194" w:rsidP="00345A39">
            <w:pPr>
              <w:pStyle w:val="ListParagraph"/>
              <w:ind w:left="0"/>
            </w:pPr>
          </w:p>
          <w:p w14:paraId="7719ADC0" w14:textId="77777777" w:rsidR="00C44194" w:rsidRPr="00850FF7" w:rsidRDefault="00C44194" w:rsidP="00345A39">
            <w:pPr>
              <w:pStyle w:val="ListParagraph"/>
              <w:ind w:left="0"/>
            </w:pPr>
          </w:p>
        </w:tc>
        <w:tc>
          <w:tcPr>
            <w:tcW w:w="4657" w:type="dxa"/>
            <w:tcBorders>
              <w:top w:val="single" w:sz="4" w:space="0" w:color="auto"/>
            </w:tcBorders>
            <w:tcMar>
              <w:left w:w="284" w:type="dxa"/>
            </w:tcMar>
          </w:tcPr>
          <w:p w14:paraId="2F2B9C68" w14:textId="686E834E" w:rsidR="00C44194" w:rsidRPr="00850FF7" w:rsidRDefault="00C44194" w:rsidP="00D22D63">
            <w:r w:rsidRPr="00850FF7">
              <w:rPr>
                <w:b/>
              </w:rPr>
              <w:t>Real turnover in market services fell further slightly in May.</w:t>
            </w:r>
            <w:r w:rsidRPr="00850FF7">
              <w:t xml:space="preserve"> After growing in the first quarter, turnover declined at the beginning of the second quarter; in May it fell by 0.3% </w:t>
            </w:r>
            <w:r w:rsidR="00D22D63">
              <w:t xml:space="preserve">in current terms </w:t>
            </w:r>
            <w:r w:rsidRPr="00850FF7">
              <w:t xml:space="preserve">compared to April. The decline in turnover continued in professional and technical activities, with a significant drop in architectural and engineering </w:t>
            </w:r>
            <w:r w:rsidR="00D22D63">
              <w:t xml:space="preserve">services </w:t>
            </w:r>
            <w:r w:rsidRPr="00850FF7">
              <w:t xml:space="preserve">for the second month in a row. The decline in information and communication </w:t>
            </w:r>
            <w:r w:rsidR="00D22D63">
              <w:t xml:space="preserve">activities </w:t>
            </w:r>
            <w:r w:rsidRPr="00850FF7">
              <w:t>was much smaller as turnover in computer services declined in the domestic market, while it increased in foreign markets. Turnover in other market services rose, most markedly in transportation and storage, where it had been declining since May last year. After three months of contraction, it also rose in accommodation and food service activities. Moderate turnover growth continued in administrative and support service activities with further growth in employment services.</w:t>
            </w:r>
            <w:r w:rsidRPr="00850FF7">
              <w:rPr>
                <w:color w:val="000000" w:themeColor="text1"/>
              </w:rPr>
              <w:t xml:space="preserve"> </w:t>
            </w:r>
            <w:r w:rsidRPr="00850FF7">
              <w:t xml:space="preserve">Year-on-year, total turnover fell by 0.1% in real terms in May due to lower activity in transportation and storage. It remained below pre-epidemic (May 2019) levels in administrative and support service activities (by 5%), </w:t>
            </w:r>
            <w:r w:rsidR="00D22D63">
              <w:t xml:space="preserve">the most </w:t>
            </w:r>
            <w:r w:rsidRPr="00850FF7">
              <w:t xml:space="preserve">in employment services (by 25%). </w:t>
            </w:r>
          </w:p>
        </w:tc>
      </w:tr>
    </w:tbl>
    <w:p w14:paraId="4A234E0A" w14:textId="77777777" w:rsidR="00C44194" w:rsidRPr="00850FF7" w:rsidRDefault="00C44194" w:rsidP="00C44194">
      <w:pPr>
        <w:spacing w:line="240" w:lineRule="atLeast"/>
        <w:jc w:val="left"/>
        <w:rPr>
          <w:b/>
        </w:rPr>
      </w:pPr>
    </w:p>
    <w:p w14:paraId="4775B95D" w14:textId="77777777" w:rsidR="00C44194" w:rsidRPr="00850FF7" w:rsidRDefault="00C44194" w:rsidP="00C44194">
      <w:pPr>
        <w:spacing w:line="240" w:lineRule="atLeast"/>
        <w:jc w:val="left"/>
        <w:rPr>
          <w:b/>
        </w:rPr>
      </w:pPr>
    </w:p>
    <w:p w14:paraId="0A54F590" w14:textId="77777777" w:rsidR="00C44194" w:rsidRPr="00850FF7" w:rsidRDefault="00C44194" w:rsidP="00C44194">
      <w:pPr>
        <w:spacing w:line="240" w:lineRule="atLeast"/>
        <w:jc w:val="left"/>
        <w:rPr>
          <w:b/>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19"/>
        <w:gridCol w:w="163"/>
        <w:gridCol w:w="4657"/>
      </w:tblGrid>
      <w:tr w:rsidR="00C44194" w:rsidRPr="00850FF7" w14:paraId="3F914C31" w14:textId="77777777" w:rsidTr="00345A39">
        <w:trPr>
          <w:trHeight w:val="207"/>
        </w:trPr>
        <w:tc>
          <w:tcPr>
            <w:tcW w:w="4819" w:type="dxa"/>
            <w:tcBorders>
              <w:bottom w:val="single" w:sz="4" w:space="0" w:color="auto"/>
            </w:tcBorders>
            <w:tcMar>
              <w:left w:w="0" w:type="dxa"/>
            </w:tcMar>
          </w:tcPr>
          <w:p w14:paraId="785D4171" w14:textId="77777777" w:rsidR="00C44194" w:rsidRPr="00850FF7" w:rsidRDefault="00C44194" w:rsidP="00345A39">
            <w:pPr>
              <w:pStyle w:val="Naslov31"/>
              <w:jc w:val="left"/>
            </w:pPr>
            <w:r w:rsidRPr="00850FF7">
              <w:t>Economic sentiment, July 2023</w:t>
            </w:r>
          </w:p>
        </w:tc>
        <w:tc>
          <w:tcPr>
            <w:tcW w:w="4820" w:type="dxa"/>
            <w:gridSpan w:val="2"/>
            <w:tcBorders>
              <w:bottom w:val="single" w:sz="4" w:space="0" w:color="auto"/>
            </w:tcBorders>
          </w:tcPr>
          <w:p w14:paraId="2CA48BBB" w14:textId="77777777" w:rsidR="00C44194" w:rsidRPr="00850FF7" w:rsidRDefault="00C44194" w:rsidP="00345A39">
            <w:pPr>
              <w:pStyle w:val="Naslov31"/>
            </w:pPr>
          </w:p>
        </w:tc>
      </w:tr>
      <w:tr w:rsidR="00C44194" w:rsidRPr="00850FF7" w14:paraId="060D4984" w14:textId="77777777" w:rsidTr="00345A39">
        <w:trPr>
          <w:trHeight w:val="1134"/>
        </w:trPr>
        <w:tc>
          <w:tcPr>
            <w:tcW w:w="4982" w:type="dxa"/>
            <w:gridSpan w:val="2"/>
            <w:tcBorders>
              <w:top w:val="single" w:sz="4" w:space="0" w:color="auto"/>
            </w:tcBorders>
            <w:tcMar>
              <w:left w:w="0" w:type="dxa"/>
            </w:tcMar>
          </w:tcPr>
          <w:p w14:paraId="4424C3AD" w14:textId="481E4126" w:rsidR="00C44194" w:rsidRPr="00850FF7" w:rsidRDefault="001F5B3E" w:rsidP="00345A39">
            <w:pPr>
              <w:pStyle w:val="ListParagraph"/>
              <w:ind w:left="0"/>
            </w:pPr>
            <w:r w:rsidRPr="00850FF7">
              <w:rPr>
                <w:noProof/>
                <w:lang w:val="sl-SI" w:eastAsia="sl-SI"/>
              </w:rPr>
              <w:drawing>
                <wp:inline distT="0" distB="0" distL="0" distR="0" wp14:anchorId="4BB63109" wp14:editId="1413F832">
                  <wp:extent cx="3141434" cy="2567940"/>
                  <wp:effectExtent l="0" t="0" r="1905" b="3810"/>
                  <wp:docPr id="37" name="Picture 37" descr="Slika, ki vsebuje besede besedilo, grafični prikaz, vrstica, posnetek zaslon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lika 37" descr="Slika, ki vsebuje besede besedilo, grafični prikaz, vrstica, posnetek zaslona&#10;&#10;Opis je samodejno ustvarje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9432" cy="2574478"/>
                          </a:xfrm>
                          <a:prstGeom prst="rect">
                            <a:avLst/>
                          </a:prstGeom>
                          <a:noFill/>
                        </pic:spPr>
                      </pic:pic>
                    </a:graphicData>
                  </a:graphic>
                </wp:inline>
              </w:drawing>
            </w:r>
          </w:p>
          <w:p w14:paraId="51738F73" w14:textId="77777777" w:rsidR="00C44194" w:rsidRPr="00850FF7" w:rsidRDefault="00C44194" w:rsidP="00345A39">
            <w:pPr>
              <w:pStyle w:val="ListParagraph"/>
              <w:ind w:left="0"/>
            </w:pPr>
          </w:p>
          <w:p w14:paraId="5953132E" w14:textId="77777777" w:rsidR="00C44194" w:rsidRPr="00850FF7" w:rsidRDefault="00C44194" w:rsidP="00345A39">
            <w:pPr>
              <w:pStyle w:val="ListParagraph"/>
              <w:ind w:left="0"/>
            </w:pPr>
          </w:p>
        </w:tc>
        <w:tc>
          <w:tcPr>
            <w:tcW w:w="4657" w:type="dxa"/>
            <w:tcBorders>
              <w:top w:val="single" w:sz="4" w:space="0" w:color="auto"/>
            </w:tcBorders>
            <w:tcMar>
              <w:left w:w="284" w:type="dxa"/>
            </w:tcMar>
          </w:tcPr>
          <w:p w14:paraId="6313B4D5" w14:textId="77777777" w:rsidR="00C44194" w:rsidRPr="00850FF7" w:rsidRDefault="00C44194" w:rsidP="00345A39">
            <w:r w:rsidRPr="00850FF7">
              <w:rPr>
                <w:b/>
              </w:rPr>
              <w:t>The negative trend of the sentiment indicator continued in June.</w:t>
            </w:r>
            <w:r w:rsidRPr="00850FF7">
              <w:t xml:space="preserve"> Sentiment fell by 1.6 p.p. month-on-month (according to seasonally adjusted data). This was mainly due to lower confidence in retail trade, services and manufacturing. The sharpest decline in confidence at the monthly level was recorded in retail trade (where it fell by 16 p.p. to 0, where the indicator last stood in October 2021). Retailers’ assessments of sales and inventories were significantly weaker than in previous months.</w:t>
            </w:r>
            <w:r w:rsidRPr="00850FF7">
              <w:rPr>
                <w:rStyle w:val="FootnoteReference"/>
                <w:rFonts w:eastAsia="Myriad Pro" w:cs="Myriad Pro"/>
                <w:bCs/>
              </w:rPr>
              <w:footnoteReference w:id="5"/>
            </w:r>
            <w:r w:rsidRPr="00850FF7">
              <w:t xml:space="preserve"> Compared to last July, the value of the sentiment indicator was lower by 5.7 p.p. (according to original data). Confidence fell most sharply in retail trade and manufacturing, but also slightly in services and construction. It was higher among consumers, who were more optimistic about the future financial situation of their households and the economic situation of the country than a year ago. </w:t>
            </w:r>
          </w:p>
        </w:tc>
      </w:tr>
    </w:tbl>
    <w:p w14:paraId="46CA0347" w14:textId="77777777" w:rsidR="00C44194" w:rsidRPr="00850FF7" w:rsidRDefault="00C44194" w:rsidP="00C44194">
      <w:r w:rsidRPr="00850FF7">
        <w:br w:type="page"/>
      </w:r>
    </w:p>
    <w:tbl>
      <w:tblPr>
        <w:tblStyle w:val="Tabelamrea8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4657"/>
      </w:tblGrid>
      <w:tr w:rsidR="00C44194" w:rsidRPr="00850FF7" w14:paraId="6345D116" w14:textId="77777777" w:rsidTr="00345A39">
        <w:trPr>
          <w:trHeight w:val="207"/>
        </w:trPr>
        <w:tc>
          <w:tcPr>
            <w:tcW w:w="9639" w:type="dxa"/>
            <w:gridSpan w:val="2"/>
            <w:tcBorders>
              <w:bottom w:val="single" w:sz="4" w:space="0" w:color="auto"/>
            </w:tcBorders>
            <w:tcMar>
              <w:left w:w="0" w:type="dxa"/>
            </w:tcMar>
          </w:tcPr>
          <w:p w14:paraId="4EEC88B8" w14:textId="77777777" w:rsidR="00C44194" w:rsidRPr="00850FF7" w:rsidRDefault="00C44194" w:rsidP="00345A39">
            <w:pPr>
              <w:rPr>
                <w:b/>
              </w:rPr>
            </w:pPr>
            <w:r w:rsidRPr="00850FF7">
              <w:rPr>
                <w:b/>
              </w:rPr>
              <w:lastRenderedPageBreak/>
              <w:t>Number of persons in employment, June 2023</w:t>
            </w:r>
          </w:p>
        </w:tc>
      </w:tr>
      <w:tr w:rsidR="00C44194" w:rsidRPr="00850FF7" w14:paraId="36A11149" w14:textId="77777777" w:rsidTr="00345A39">
        <w:trPr>
          <w:trHeight w:val="1134"/>
        </w:trPr>
        <w:tc>
          <w:tcPr>
            <w:tcW w:w="4982" w:type="dxa"/>
            <w:tcBorders>
              <w:top w:val="single" w:sz="4" w:space="0" w:color="auto"/>
            </w:tcBorders>
            <w:tcMar>
              <w:left w:w="0" w:type="dxa"/>
            </w:tcMar>
          </w:tcPr>
          <w:p w14:paraId="08731575" w14:textId="2F685A73" w:rsidR="00C44194" w:rsidRPr="00850FF7" w:rsidRDefault="001857BA" w:rsidP="00345A39">
            <w:pPr>
              <w:contextualSpacing/>
            </w:pPr>
            <w:r w:rsidRPr="00850FF7">
              <w:rPr>
                <w:noProof/>
                <w:lang w:val="sl-SI" w:eastAsia="sl-SI"/>
              </w:rPr>
              <w:drawing>
                <wp:inline distT="0" distB="0" distL="0" distR="0" wp14:anchorId="37B1C0C5" wp14:editId="259D3836">
                  <wp:extent cx="3169399" cy="25908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82864" cy="2601807"/>
                          </a:xfrm>
                          <a:prstGeom prst="rect">
                            <a:avLst/>
                          </a:prstGeom>
                          <a:noFill/>
                        </pic:spPr>
                      </pic:pic>
                    </a:graphicData>
                  </a:graphic>
                </wp:inline>
              </w:drawing>
            </w:r>
          </w:p>
        </w:tc>
        <w:tc>
          <w:tcPr>
            <w:tcW w:w="4657" w:type="dxa"/>
            <w:tcBorders>
              <w:top w:val="single" w:sz="4" w:space="0" w:color="auto"/>
            </w:tcBorders>
            <w:tcMar>
              <w:left w:w="284" w:type="dxa"/>
            </w:tcMar>
          </w:tcPr>
          <w:p w14:paraId="420AE286" w14:textId="4AC7A7A8" w:rsidR="00C44194" w:rsidRPr="00850FF7" w:rsidRDefault="00C44194" w:rsidP="00345A39">
            <w:pPr>
              <w:rPr>
                <w:bCs/>
              </w:rPr>
            </w:pPr>
            <w:r w:rsidRPr="00850FF7">
              <w:rPr>
                <w:b/>
              </w:rPr>
              <w:t>In June, the number of persons in employment further increased but the year-on-year growth was slightly lower than in previous months (1.4%).</w:t>
            </w:r>
            <w:r w:rsidRPr="00850FF7">
              <w:t xml:space="preserve"> This </w:t>
            </w:r>
            <w:r w:rsidR="00A35C1F" w:rsidRPr="00850FF7">
              <w:t>wa</w:t>
            </w:r>
            <w:r w:rsidRPr="00850FF7">
              <w:t xml:space="preserve">s mainly due to the year-on-year decrease in the number of civil servants. The strongest year-on-year growth was still seen in construction, which is facing a major labour shortage and saw the largest increase in the number of persons in employment also compared to early 2019. Employment of foreign workers has been the largest contributor to the overall growth in the number of persons in employment for some time now – their contribution was 92.3% year-on-year in June, slightly higher than in previous months. Foreigners accounted for 14.5% of total employment in June, up 1.2 p.p. year-on-year. The sectors with the highest share of foreigners were construction (48%), transportation and storage (33%), and administrative and support service activities (27%). </w:t>
            </w:r>
          </w:p>
        </w:tc>
      </w:tr>
    </w:tbl>
    <w:p w14:paraId="5C20F8DB" w14:textId="77777777" w:rsidR="00C44194" w:rsidRPr="00850FF7" w:rsidRDefault="00C44194" w:rsidP="00C44194"/>
    <w:p w14:paraId="77F7D381" w14:textId="77777777" w:rsidR="00C44194" w:rsidRPr="00850FF7" w:rsidRDefault="00C44194" w:rsidP="00C44194"/>
    <w:p w14:paraId="7979F5EB" w14:textId="77777777" w:rsidR="00C44194" w:rsidRPr="00850FF7" w:rsidRDefault="00C44194" w:rsidP="00C44194"/>
    <w:tbl>
      <w:tblPr>
        <w:tblStyle w:val="Tabelamre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4657"/>
      </w:tblGrid>
      <w:tr w:rsidR="00C44194" w:rsidRPr="00850FF7" w14:paraId="58D7F822" w14:textId="77777777" w:rsidTr="00345A39">
        <w:trPr>
          <w:trHeight w:val="207"/>
        </w:trPr>
        <w:tc>
          <w:tcPr>
            <w:tcW w:w="9639" w:type="dxa"/>
            <w:gridSpan w:val="2"/>
            <w:tcBorders>
              <w:bottom w:val="single" w:sz="4" w:space="0" w:color="auto"/>
            </w:tcBorders>
            <w:tcMar>
              <w:left w:w="0" w:type="dxa"/>
            </w:tcMar>
          </w:tcPr>
          <w:p w14:paraId="56DC3487" w14:textId="77777777" w:rsidR="00C44194" w:rsidRPr="00850FF7" w:rsidRDefault="00C44194" w:rsidP="00345A39">
            <w:pPr>
              <w:rPr>
                <w:b/>
              </w:rPr>
            </w:pPr>
            <w:r w:rsidRPr="00850FF7">
              <w:rPr>
                <w:b/>
              </w:rPr>
              <w:t>Number of registered unemployed persons, July 2023</w:t>
            </w:r>
          </w:p>
        </w:tc>
      </w:tr>
      <w:tr w:rsidR="00C44194" w:rsidRPr="00850FF7" w14:paraId="6620860F" w14:textId="77777777" w:rsidTr="00345A39">
        <w:trPr>
          <w:trHeight w:val="1134"/>
        </w:trPr>
        <w:tc>
          <w:tcPr>
            <w:tcW w:w="4982" w:type="dxa"/>
            <w:tcBorders>
              <w:top w:val="single" w:sz="4" w:space="0" w:color="auto"/>
            </w:tcBorders>
            <w:tcMar>
              <w:left w:w="0" w:type="dxa"/>
            </w:tcMar>
          </w:tcPr>
          <w:p w14:paraId="70570910" w14:textId="078982F4" w:rsidR="00C44194" w:rsidRPr="00850FF7" w:rsidRDefault="001F5B3E" w:rsidP="00345A39">
            <w:pPr>
              <w:contextualSpacing/>
            </w:pPr>
            <w:r w:rsidRPr="00850FF7">
              <w:rPr>
                <w:noProof/>
                <w:lang w:val="sl-SI" w:eastAsia="sl-SI"/>
              </w:rPr>
              <w:drawing>
                <wp:inline distT="0" distB="0" distL="0" distR="0" wp14:anchorId="417174D3" wp14:editId="1580D195">
                  <wp:extent cx="3139712" cy="2529840"/>
                  <wp:effectExtent l="0" t="0" r="3810" b="3810"/>
                  <wp:docPr id="40" name="Picture 40" descr="Slika, ki vsebuje besede besedilo, grafični prikaz, posnetek zaslona, pisav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lika 40" descr="Slika, ki vsebuje besede besedilo, grafični prikaz, posnetek zaslona, pisava&#10;&#10;Opis je samodejno ustvarj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46123" cy="2535005"/>
                          </a:xfrm>
                          <a:prstGeom prst="rect">
                            <a:avLst/>
                          </a:prstGeom>
                          <a:noFill/>
                        </pic:spPr>
                      </pic:pic>
                    </a:graphicData>
                  </a:graphic>
                </wp:inline>
              </w:drawing>
            </w:r>
          </w:p>
        </w:tc>
        <w:tc>
          <w:tcPr>
            <w:tcW w:w="4657" w:type="dxa"/>
            <w:tcBorders>
              <w:top w:val="single" w:sz="4" w:space="0" w:color="auto"/>
            </w:tcBorders>
            <w:tcMar>
              <w:left w:w="284" w:type="dxa"/>
            </w:tcMar>
          </w:tcPr>
          <w:p w14:paraId="5603AD69" w14:textId="77777777" w:rsidR="00C44194" w:rsidRPr="00850FF7" w:rsidRDefault="00C44194" w:rsidP="00345A39">
            <w:r w:rsidRPr="00850FF7">
              <w:rPr>
                <w:b/>
              </w:rPr>
              <w:t xml:space="preserve">According to the seasonally adjusted data, the monthly decline in the number of registered unemployed was lower in July (-0.3%) compared to the previous months. </w:t>
            </w:r>
            <w:r w:rsidRPr="00850FF7">
              <w:t>According to original data, 47,287 people were unemployed at the end of July, 2.4% more than at the end of June. This largely reflects seasonal trends related to a higher inflow into unemployment due to expiry of fixed-term employment contracts. Unemployment was down 13% year-on-year. Amid severe labour shortages, the number of long-term unemployed fell by 23.1% year-on-year at the end of July and the number of unemployed people over 50 by 12.8%.</w:t>
            </w:r>
          </w:p>
        </w:tc>
      </w:tr>
    </w:tbl>
    <w:p w14:paraId="08C3E364" w14:textId="77777777" w:rsidR="00C44194" w:rsidRPr="00850FF7" w:rsidRDefault="00C44194" w:rsidP="00C44194">
      <w:pPr>
        <w:pStyle w:val="Naslov31"/>
        <w:jc w:val="left"/>
      </w:pPr>
    </w:p>
    <w:p w14:paraId="5DF7230E" w14:textId="77777777" w:rsidR="00C44194" w:rsidRPr="00850FF7" w:rsidRDefault="00C44194" w:rsidP="00C44194">
      <w:pPr>
        <w:spacing w:after="160" w:line="259" w:lineRule="auto"/>
        <w:jc w:val="left"/>
        <w:rPr>
          <w:b/>
        </w:rPr>
      </w:pPr>
      <w:r w:rsidRPr="00850FF7">
        <w:br w:type="page"/>
      </w:r>
    </w:p>
    <w:tbl>
      <w:tblPr>
        <w:tblStyle w:val="Tabelamre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4657"/>
      </w:tblGrid>
      <w:tr w:rsidR="00C44194" w:rsidRPr="00850FF7" w14:paraId="04796C16" w14:textId="77777777" w:rsidTr="00345A39">
        <w:trPr>
          <w:trHeight w:val="207"/>
        </w:trPr>
        <w:tc>
          <w:tcPr>
            <w:tcW w:w="9639" w:type="dxa"/>
            <w:gridSpan w:val="2"/>
            <w:tcBorders>
              <w:bottom w:val="single" w:sz="4" w:space="0" w:color="auto"/>
            </w:tcBorders>
            <w:tcMar>
              <w:left w:w="0" w:type="dxa"/>
            </w:tcMar>
          </w:tcPr>
          <w:p w14:paraId="6D08C4F9" w14:textId="77777777" w:rsidR="00C44194" w:rsidRPr="00850FF7" w:rsidRDefault="00C44194" w:rsidP="00345A39">
            <w:pPr>
              <w:rPr>
                <w:b/>
              </w:rPr>
            </w:pPr>
            <w:r w:rsidRPr="00850FF7">
              <w:rPr>
                <w:b/>
              </w:rPr>
              <w:lastRenderedPageBreak/>
              <w:t>Average gross wage per employee, May 2023</w:t>
            </w:r>
          </w:p>
        </w:tc>
      </w:tr>
      <w:tr w:rsidR="00C44194" w:rsidRPr="00850FF7" w14:paraId="53FB8249" w14:textId="77777777" w:rsidTr="00345A39">
        <w:trPr>
          <w:trHeight w:val="1134"/>
        </w:trPr>
        <w:tc>
          <w:tcPr>
            <w:tcW w:w="4982" w:type="dxa"/>
            <w:tcBorders>
              <w:top w:val="single" w:sz="4" w:space="0" w:color="auto"/>
            </w:tcBorders>
            <w:tcMar>
              <w:left w:w="0" w:type="dxa"/>
            </w:tcMar>
          </w:tcPr>
          <w:p w14:paraId="4134438F" w14:textId="712AA831" w:rsidR="00C44194" w:rsidRPr="00850FF7" w:rsidRDefault="001F5B3E" w:rsidP="00345A39">
            <w:pPr>
              <w:contextualSpacing/>
            </w:pPr>
            <w:r w:rsidRPr="00850FF7">
              <w:rPr>
                <w:noProof/>
                <w:lang w:val="sl-SI" w:eastAsia="sl-SI"/>
              </w:rPr>
              <w:drawing>
                <wp:inline distT="0" distB="0" distL="0" distR="0" wp14:anchorId="0C8366E6" wp14:editId="0ACA758F">
                  <wp:extent cx="3146400" cy="2574000"/>
                  <wp:effectExtent l="0" t="0" r="0" b="0"/>
                  <wp:docPr id="39" name="Picture 39" descr="Slika, ki vsebuje besede besedilo, grafični prikaz, vrstic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lika 39" descr="Slika, ki vsebuje besede besedilo, grafični prikaz, vrstica, diagram&#10;&#10;Opis je samodejno ustvarje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46400" cy="2574000"/>
                          </a:xfrm>
                          <a:prstGeom prst="rect">
                            <a:avLst/>
                          </a:prstGeom>
                          <a:noFill/>
                        </pic:spPr>
                      </pic:pic>
                    </a:graphicData>
                  </a:graphic>
                </wp:inline>
              </w:drawing>
            </w:r>
          </w:p>
        </w:tc>
        <w:tc>
          <w:tcPr>
            <w:tcW w:w="4657" w:type="dxa"/>
            <w:tcBorders>
              <w:top w:val="single" w:sz="4" w:space="0" w:color="auto"/>
            </w:tcBorders>
            <w:tcMar>
              <w:left w:w="284" w:type="dxa"/>
            </w:tcMar>
          </w:tcPr>
          <w:p w14:paraId="0D10AE4D" w14:textId="3B826103" w:rsidR="00C44194" w:rsidRPr="00850FF7" w:rsidRDefault="00C44194" w:rsidP="00345A39">
            <w:pPr>
              <w:rPr>
                <w:rFonts w:eastAsia="Myriad Pro" w:cs="Myriad Pro"/>
                <w:color w:val="000000" w:themeColor="text1"/>
              </w:rPr>
            </w:pPr>
            <w:r w:rsidRPr="00850FF7">
              <w:rPr>
                <w:b/>
                <w:color w:val="000000" w:themeColor="text1"/>
              </w:rPr>
              <w:t xml:space="preserve">The average gross wage increased by 2.4% year-on-year in real terms in May. </w:t>
            </w:r>
            <w:r w:rsidRPr="00850FF7">
              <w:rPr>
                <w:color w:val="000000" w:themeColor="text1"/>
              </w:rPr>
              <w:t>In the private sector, the average gross wage increased by 2.1% year-on-year in real terms. Growth was strongest in administrative and support service activities, which face severe labour shortage</w:t>
            </w:r>
            <w:r w:rsidR="00B16D55" w:rsidRPr="00850FF7">
              <w:rPr>
                <w:color w:val="000000" w:themeColor="text1"/>
              </w:rPr>
              <w:t>s</w:t>
            </w:r>
            <w:r w:rsidRPr="00850FF7">
              <w:rPr>
                <w:color w:val="000000" w:themeColor="text1"/>
              </w:rPr>
              <w:t>. In the public sector, the average gross wage increased by 2.9% year-on-year in real terms, mainly due to the last year’s wage increase agreement.</w:t>
            </w:r>
            <w:r w:rsidRPr="00850FF7">
              <w:rPr>
                <w:rStyle w:val="FootnoteReference"/>
              </w:rPr>
              <w:footnoteReference w:id="6"/>
            </w:r>
            <w:r w:rsidRPr="00850FF7">
              <w:rPr>
                <w:color w:val="000000" w:themeColor="text1"/>
              </w:rPr>
              <w:t xml:space="preserve"> Compared to May last year, the average gross wage increased by 11% in nominal terms – by 11.6% in the public sector and by 10.7% in the private sector. In the first five months, the average year-on-year gross wage growth was modest in real terms – 0.7% (0.7% in the private sector and 0.6% in the public sector).</w:t>
            </w:r>
          </w:p>
        </w:tc>
      </w:tr>
    </w:tbl>
    <w:p w14:paraId="72C1FAD7" w14:textId="77777777" w:rsidR="00C44194" w:rsidRPr="00850FF7" w:rsidRDefault="00C44194" w:rsidP="00C44194">
      <w:pPr>
        <w:pStyle w:val="Naslov31"/>
        <w:jc w:val="left"/>
      </w:pPr>
    </w:p>
    <w:p w14:paraId="16C0FF85" w14:textId="77777777" w:rsidR="00C44194" w:rsidRPr="00850FF7" w:rsidRDefault="00C44194" w:rsidP="00C44194">
      <w:pPr>
        <w:pStyle w:val="Naslov31"/>
        <w:jc w:val="left"/>
      </w:pPr>
    </w:p>
    <w:p w14:paraId="05175D13" w14:textId="77777777" w:rsidR="00C44194" w:rsidRPr="00850FF7" w:rsidRDefault="00C44194" w:rsidP="00C44194">
      <w:pPr>
        <w:spacing w:line="240" w:lineRule="atLeast"/>
        <w:jc w:val="left"/>
        <w:rPr>
          <w:b/>
        </w:rPr>
      </w:pPr>
    </w:p>
    <w:tbl>
      <w:tblPr>
        <w:tblStyle w:val="Tabelamrea1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81"/>
        <w:gridCol w:w="2976"/>
      </w:tblGrid>
      <w:tr w:rsidR="00C44194" w:rsidRPr="00850FF7" w14:paraId="5E7673D5" w14:textId="77777777" w:rsidTr="00345A39">
        <w:trPr>
          <w:gridAfter w:val="1"/>
          <w:wAfter w:w="2976" w:type="dxa"/>
          <w:trHeight w:val="207"/>
        </w:trPr>
        <w:tc>
          <w:tcPr>
            <w:tcW w:w="6663" w:type="dxa"/>
            <w:gridSpan w:val="2"/>
            <w:tcBorders>
              <w:bottom w:val="single" w:sz="4" w:space="0" w:color="auto"/>
            </w:tcBorders>
            <w:tcMar>
              <w:left w:w="0" w:type="dxa"/>
            </w:tcMar>
          </w:tcPr>
          <w:p w14:paraId="6C5A4784" w14:textId="77777777" w:rsidR="00C44194" w:rsidRPr="00850FF7" w:rsidRDefault="00C44194" w:rsidP="00345A39">
            <w:pPr>
              <w:pStyle w:val="Naslov31"/>
              <w:jc w:val="left"/>
            </w:pPr>
            <w:r w:rsidRPr="00850FF7">
              <w:t>Electricity consumption, July 2023</w:t>
            </w:r>
          </w:p>
        </w:tc>
      </w:tr>
      <w:tr w:rsidR="00C44194" w:rsidRPr="00850FF7" w14:paraId="63C465A9" w14:textId="77777777" w:rsidTr="00345A39">
        <w:trPr>
          <w:trHeight w:val="1134"/>
        </w:trPr>
        <w:tc>
          <w:tcPr>
            <w:tcW w:w="4982" w:type="dxa"/>
            <w:tcBorders>
              <w:top w:val="single" w:sz="4" w:space="0" w:color="auto"/>
            </w:tcBorders>
            <w:tcMar>
              <w:left w:w="0" w:type="dxa"/>
            </w:tcMar>
          </w:tcPr>
          <w:p w14:paraId="0146AD57" w14:textId="11664BAF" w:rsidR="00C44194" w:rsidRPr="00850FF7" w:rsidRDefault="003374A8" w:rsidP="00345A39">
            <w:pPr>
              <w:pStyle w:val="ListParagraph"/>
              <w:ind w:left="0"/>
            </w:pPr>
            <w:r w:rsidRPr="00850FF7">
              <w:rPr>
                <w:noProof/>
                <w:lang w:val="sl-SI" w:eastAsia="sl-SI"/>
              </w:rPr>
              <w:drawing>
                <wp:inline distT="0" distB="0" distL="0" distR="0" wp14:anchorId="55628806" wp14:editId="060394EF">
                  <wp:extent cx="3202958" cy="2621280"/>
                  <wp:effectExtent l="0" t="0" r="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09833" cy="2626906"/>
                          </a:xfrm>
                          <a:prstGeom prst="rect">
                            <a:avLst/>
                          </a:prstGeom>
                          <a:noFill/>
                        </pic:spPr>
                      </pic:pic>
                    </a:graphicData>
                  </a:graphic>
                </wp:inline>
              </w:drawing>
            </w:r>
          </w:p>
          <w:p w14:paraId="0F7498DB" w14:textId="77777777" w:rsidR="00C44194" w:rsidRPr="00850FF7" w:rsidRDefault="00C44194" w:rsidP="00345A39">
            <w:pPr>
              <w:pStyle w:val="ListParagraph"/>
              <w:ind w:left="0"/>
            </w:pPr>
          </w:p>
        </w:tc>
        <w:tc>
          <w:tcPr>
            <w:tcW w:w="4657" w:type="dxa"/>
            <w:gridSpan w:val="2"/>
            <w:tcBorders>
              <w:top w:val="single" w:sz="4" w:space="0" w:color="auto"/>
            </w:tcBorders>
            <w:tcMar>
              <w:left w:w="284" w:type="dxa"/>
            </w:tcMar>
          </w:tcPr>
          <w:p w14:paraId="0718D085" w14:textId="2D13138F" w:rsidR="00C44194" w:rsidRPr="00850FF7" w:rsidRDefault="00C44194" w:rsidP="00345A39">
            <w:pPr>
              <w:rPr>
                <w:color w:val="000000" w:themeColor="text1"/>
              </w:rPr>
            </w:pPr>
            <w:r w:rsidRPr="00850FF7">
              <w:rPr>
                <w:b/>
                <w:color w:val="000000" w:themeColor="text1"/>
              </w:rPr>
              <w:t xml:space="preserve">Electricity consumption was 11% lower year-on-year in July. </w:t>
            </w:r>
            <w:r w:rsidRPr="00850FF7">
              <w:rPr>
                <w:color w:val="000000" w:themeColor="text1"/>
              </w:rPr>
              <w:t xml:space="preserve">This was mainly due to lower industrial consumption, </w:t>
            </w:r>
            <w:r w:rsidR="008D5878" w:rsidRPr="00850FF7">
              <w:rPr>
                <w:color w:val="000000" w:themeColor="text1"/>
              </w:rPr>
              <w:t>in</w:t>
            </w:r>
            <w:r w:rsidRPr="00850FF7">
              <w:rPr>
                <w:color w:val="000000" w:themeColor="text1"/>
              </w:rPr>
              <w:t xml:space="preserve"> our estimat</w:t>
            </w:r>
            <w:r w:rsidR="008D5878" w:rsidRPr="00850FF7">
              <w:rPr>
                <w:color w:val="000000" w:themeColor="text1"/>
              </w:rPr>
              <w:t>ion</w:t>
            </w:r>
            <w:r w:rsidRPr="00850FF7">
              <w:rPr>
                <w:color w:val="000000" w:themeColor="text1"/>
              </w:rPr>
              <w:t xml:space="preserve"> especially in the energy-intensive part of industry. Household consumption may also have contributed to lower year-on-year consumption as a result of more rational utilisation of energy and </w:t>
            </w:r>
            <w:r w:rsidR="00B16D55" w:rsidRPr="00850FF7">
              <w:rPr>
                <w:color w:val="000000" w:themeColor="text1"/>
              </w:rPr>
              <w:t xml:space="preserve">storm-related </w:t>
            </w:r>
            <w:r w:rsidRPr="00850FF7">
              <w:rPr>
                <w:color w:val="000000" w:themeColor="text1"/>
              </w:rPr>
              <w:t>power outages. Slovenia’s main trading partners also recorded a year-on-year decline in consumption in July (Austria by 11%, Italy and France by 6%, Germany by 4% and Croatia by 1%).</w:t>
            </w:r>
          </w:p>
          <w:p w14:paraId="5E043DD1" w14:textId="77777777" w:rsidR="00C44194" w:rsidRPr="00850FF7" w:rsidRDefault="00C44194" w:rsidP="00345A39">
            <w:pPr>
              <w:rPr>
                <w:color w:val="44546A" w:themeColor="text2"/>
              </w:rPr>
            </w:pPr>
          </w:p>
        </w:tc>
      </w:tr>
    </w:tbl>
    <w:p w14:paraId="007CE7C1" w14:textId="77777777" w:rsidR="00C44194" w:rsidRPr="00850FF7" w:rsidRDefault="00C44194" w:rsidP="00C44194">
      <w:pPr>
        <w:spacing w:line="240" w:lineRule="atLeast"/>
        <w:jc w:val="left"/>
        <w:rPr>
          <w:b/>
        </w:rPr>
      </w:pPr>
    </w:p>
    <w:p w14:paraId="52D3850B" w14:textId="77777777" w:rsidR="00C44194" w:rsidRPr="00850FF7" w:rsidRDefault="00C44194" w:rsidP="00C44194">
      <w:pPr>
        <w:spacing w:after="160" w:line="259" w:lineRule="auto"/>
        <w:jc w:val="left"/>
        <w:rPr>
          <w:b/>
        </w:rPr>
      </w:pPr>
      <w:r w:rsidRPr="00850FF7">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76"/>
        <w:gridCol w:w="2981"/>
      </w:tblGrid>
      <w:tr w:rsidR="00C44194" w:rsidRPr="00850FF7" w14:paraId="14B285C3" w14:textId="77777777" w:rsidTr="00345A39">
        <w:trPr>
          <w:trHeight w:val="207"/>
        </w:trPr>
        <w:tc>
          <w:tcPr>
            <w:tcW w:w="6658" w:type="dxa"/>
            <w:gridSpan w:val="2"/>
            <w:tcBorders>
              <w:bottom w:val="single" w:sz="4" w:space="0" w:color="auto"/>
            </w:tcBorders>
            <w:tcMar>
              <w:left w:w="0" w:type="dxa"/>
            </w:tcMar>
          </w:tcPr>
          <w:p w14:paraId="17A3DE1A" w14:textId="77777777" w:rsidR="00C44194" w:rsidRPr="00850FF7" w:rsidRDefault="00C44194" w:rsidP="00345A39">
            <w:pPr>
              <w:pStyle w:val="Naslov31"/>
              <w:jc w:val="left"/>
            </w:pPr>
            <w:r w:rsidRPr="00850FF7">
              <w:lastRenderedPageBreak/>
              <w:t>Electricity consumption by consumption group, July 2023</w:t>
            </w:r>
          </w:p>
        </w:tc>
        <w:tc>
          <w:tcPr>
            <w:tcW w:w="2981" w:type="dxa"/>
            <w:tcBorders>
              <w:bottom w:val="single" w:sz="4" w:space="0" w:color="auto"/>
            </w:tcBorders>
          </w:tcPr>
          <w:p w14:paraId="048C47FE" w14:textId="77777777" w:rsidR="00C44194" w:rsidRPr="00850FF7" w:rsidRDefault="00C44194" w:rsidP="00345A39">
            <w:pPr>
              <w:pStyle w:val="Naslov31"/>
            </w:pPr>
          </w:p>
        </w:tc>
      </w:tr>
      <w:tr w:rsidR="00C44194" w:rsidRPr="00850FF7" w14:paraId="3D44E69C" w14:textId="77777777" w:rsidTr="00345A39">
        <w:trPr>
          <w:trHeight w:val="1134"/>
        </w:trPr>
        <w:tc>
          <w:tcPr>
            <w:tcW w:w="4982" w:type="dxa"/>
            <w:tcBorders>
              <w:top w:val="single" w:sz="4" w:space="0" w:color="auto"/>
            </w:tcBorders>
            <w:tcMar>
              <w:left w:w="0" w:type="dxa"/>
            </w:tcMar>
          </w:tcPr>
          <w:p w14:paraId="1FC23CF1" w14:textId="4ED92E09" w:rsidR="00C44194" w:rsidRPr="00850FF7" w:rsidRDefault="003374A8" w:rsidP="00345A39">
            <w:pPr>
              <w:pStyle w:val="ListParagraph"/>
              <w:ind w:left="0"/>
            </w:pPr>
            <w:r w:rsidRPr="00850FF7">
              <w:rPr>
                <w:noProof/>
                <w:lang w:val="sl-SI" w:eastAsia="sl-SI"/>
              </w:rPr>
              <w:drawing>
                <wp:inline distT="0" distB="0" distL="0" distR="0" wp14:anchorId="3BB67DB4" wp14:editId="61F4DB6C">
                  <wp:extent cx="3184337" cy="26060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88875" cy="2609754"/>
                          </a:xfrm>
                          <a:prstGeom prst="rect">
                            <a:avLst/>
                          </a:prstGeom>
                          <a:noFill/>
                        </pic:spPr>
                      </pic:pic>
                    </a:graphicData>
                  </a:graphic>
                </wp:inline>
              </w:drawing>
            </w:r>
          </w:p>
          <w:p w14:paraId="79A8BEBE" w14:textId="77777777" w:rsidR="00C44194" w:rsidRPr="00850FF7" w:rsidRDefault="00C44194" w:rsidP="00345A39">
            <w:pPr>
              <w:pStyle w:val="ListParagraph"/>
              <w:ind w:left="0"/>
            </w:pPr>
          </w:p>
        </w:tc>
        <w:tc>
          <w:tcPr>
            <w:tcW w:w="4657" w:type="dxa"/>
            <w:gridSpan w:val="2"/>
            <w:tcBorders>
              <w:top w:val="single" w:sz="4" w:space="0" w:color="auto"/>
            </w:tcBorders>
            <w:tcMar>
              <w:left w:w="284" w:type="dxa"/>
            </w:tcMar>
          </w:tcPr>
          <w:p w14:paraId="59AA6D04" w14:textId="08AF64B8" w:rsidR="00C44194" w:rsidRPr="00850FF7" w:rsidRDefault="00C44194" w:rsidP="00345A39">
            <w:pPr>
              <w:rPr>
                <w:rFonts w:eastAsia="Myriad Pro" w:cs="Myriad Pro"/>
                <w:b/>
                <w:bCs/>
              </w:rPr>
            </w:pPr>
            <w:r w:rsidRPr="00850FF7">
              <w:rPr>
                <w:b/>
              </w:rPr>
              <w:t xml:space="preserve">In July, electricity consumption in the distribution network was lower year-on-year in all consumption groups. </w:t>
            </w:r>
            <w:r w:rsidRPr="00850FF7">
              <w:t xml:space="preserve">As in previous few months, the sharpest year-on-year decline was seen in industrial consumption (by 10.8%). Household consumption was also lower year-on-year in July (by 4.3%), according to our estimates mainly due to a more rational energy consumption and </w:t>
            </w:r>
            <w:r w:rsidR="00B16D55" w:rsidRPr="00850FF7">
              <w:t xml:space="preserve">storm-related </w:t>
            </w:r>
            <w:r w:rsidRPr="00850FF7">
              <w:t>power outages. Small business consumption</w:t>
            </w:r>
            <w:r w:rsidRPr="00850FF7">
              <w:rPr>
                <w:rFonts w:eastAsia="Myriad Pro" w:cs="Myriad Pro"/>
                <w:vertAlign w:val="superscript"/>
              </w:rPr>
              <w:footnoteReference w:id="7"/>
            </w:r>
            <w:r w:rsidRPr="00850FF7">
              <w:t xml:space="preserve"> was 1.5% lower year-on-year in July.</w:t>
            </w:r>
          </w:p>
          <w:p w14:paraId="7A25252A" w14:textId="77777777" w:rsidR="00C44194" w:rsidRPr="00850FF7" w:rsidRDefault="00C44194" w:rsidP="00345A39">
            <w:pPr>
              <w:rPr>
                <w:rFonts w:eastAsia="Myriad Pro" w:cs="Myriad Pro"/>
                <w:b/>
                <w:bCs/>
              </w:rPr>
            </w:pPr>
          </w:p>
          <w:p w14:paraId="7E0FBFFA" w14:textId="77777777" w:rsidR="00C44194" w:rsidRPr="00850FF7" w:rsidRDefault="00C44194" w:rsidP="00345A39">
            <w:pPr>
              <w:rPr>
                <w:rStyle w:val="normaltextrun"/>
                <w:b/>
                <w:bCs/>
                <w:color w:val="000000" w:themeColor="text1"/>
              </w:rPr>
            </w:pPr>
          </w:p>
        </w:tc>
      </w:tr>
    </w:tbl>
    <w:p w14:paraId="174FD434" w14:textId="77777777" w:rsidR="00C44194" w:rsidRPr="00850FF7" w:rsidRDefault="00C44194" w:rsidP="00C44194">
      <w:pPr>
        <w:spacing w:line="240" w:lineRule="atLeast"/>
        <w:jc w:val="left"/>
        <w:rPr>
          <w:b/>
        </w:rPr>
      </w:pPr>
    </w:p>
    <w:p w14:paraId="6C8C8716" w14:textId="77777777" w:rsidR="00C44194" w:rsidRPr="00850FF7" w:rsidRDefault="00C44194" w:rsidP="00C44194">
      <w:pPr>
        <w:spacing w:after="160" w:line="259" w:lineRule="auto"/>
        <w:jc w:val="left"/>
        <w:rPr>
          <w:b/>
        </w:rPr>
      </w:pPr>
    </w:p>
    <w:p w14:paraId="662739AC" w14:textId="77777777" w:rsidR="00C44194" w:rsidRPr="00850FF7" w:rsidRDefault="00C44194" w:rsidP="00C44194">
      <w:pPr>
        <w:spacing w:line="240" w:lineRule="atLeast"/>
        <w:jc w:val="left"/>
        <w:rPr>
          <w:b/>
        </w:rPr>
      </w:pPr>
    </w:p>
    <w:p w14:paraId="388D6FA8" w14:textId="1C4A3F57" w:rsidR="004D28ED" w:rsidRPr="00850FF7" w:rsidRDefault="004D28ED" w:rsidP="00BC1C56">
      <w:pPr>
        <w:pStyle w:val="Naslov31"/>
        <w:jc w:val="left"/>
        <w:sectPr w:rsidR="004D28ED" w:rsidRPr="00850FF7" w:rsidSect="00182B9F">
          <w:headerReference w:type="default" r:id="rId28"/>
          <w:headerReference w:type="first" r:id="rId29"/>
          <w:pgSz w:w="11906" w:h="16838"/>
          <w:pgMar w:top="1134" w:right="1134" w:bottom="1021" w:left="1134" w:header="709" w:footer="397" w:gutter="0"/>
          <w:cols w:space="708"/>
          <w:titlePg/>
          <w:docGrid w:linePitch="360"/>
        </w:sectPr>
      </w:pPr>
    </w:p>
    <w:p w14:paraId="7BC6376A" w14:textId="3DA2A977" w:rsidR="00FE7254" w:rsidRPr="00850FF7" w:rsidRDefault="00C775BD" w:rsidP="00DF3707">
      <w:pPr>
        <w:tabs>
          <w:tab w:val="left" w:pos="580"/>
        </w:tabs>
      </w:pPr>
      <w:r w:rsidRPr="00850FF7">
        <w:rPr>
          <w:noProof/>
          <w:lang w:val="sl-SI" w:eastAsia="sl-SI"/>
        </w:rPr>
        <w:lastRenderedPageBreak/>
        <w:drawing>
          <wp:inline distT="0" distB="0" distL="0" distR="0" wp14:anchorId="1BFB92E9" wp14:editId="0978CFC4">
            <wp:extent cx="6120130" cy="838454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20130" cy="8384540"/>
                    </a:xfrm>
                    <a:prstGeom prst="rect">
                      <a:avLst/>
                    </a:prstGeom>
                    <a:noFill/>
                    <a:ln>
                      <a:noFill/>
                    </a:ln>
                  </pic:spPr>
                </pic:pic>
              </a:graphicData>
            </a:graphic>
          </wp:inline>
        </w:drawing>
      </w:r>
    </w:p>
    <w:sectPr w:rsidR="00FE7254" w:rsidRPr="00850FF7" w:rsidSect="00363E63">
      <w:headerReference w:type="default" r:id="rId31"/>
      <w:footerReference w:type="default" r:id="rId32"/>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D8059" w14:textId="77777777" w:rsidR="00A11165" w:rsidRDefault="00A11165" w:rsidP="0063497B">
      <w:pPr>
        <w:spacing w:line="240" w:lineRule="auto"/>
      </w:pPr>
      <w:r>
        <w:separator/>
      </w:r>
    </w:p>
  </w:endnote>
  <w:endnote w:type="continuationSeparator" w:id="0">
    <w:p w14:paraId="1932873D" w14:textId="77777777" w:rsidR="00A11165" w:rsidRDefault="00A11165" w:rsidP="0063497B">
      <w:pPr>
        <w:spacing w:line="240" w:lineRule="auto"/>
      </w:pPr>
      <w:r>
        <w:continuationSeparator/>
      </w:r>
    </w:p>
  </w:endnote>
  <w:endnote w:type="continuationNotice" w:id="1">
    <w:p w14:paraId="00DF272C" w14:textId="77777777" w:rsidR="00A11165" w:rsidRDefault="00A111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A7BC5" w14:textId="775B8EFD" w:rsidR="00C44194" w:rsidRPr="00363E63" w:rsidRDefault="00C44194"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sz w:val="18"/>
        </w:rPr>
        <w:t>polona.osrajnik@gov.si</w:t>
      </w:r>
    </w:hyperlink>
    <w:r>
      <w:rPr>
        <w:b w:val="0"/>
        <w:sz w:val="18"/>
      </w:rPr>
      <w:tab/>
    </w:r>
    <w:r>
      <w:rPr>
        <w:sz w:val="18"/>
      </w:rPr>
      <w:t xml:space="preserve"> </w:t>
    </w:r>
    <w:sdt>
      <w:sdtPr>
        <w:rPr>
          <w:color w:val="2B579A"/>
          <w:sz w:val="18"/>
          <w:szCs w:val="18"/>
          <w:shd w:val="clear" w:color="auto" w:fill="E6E6E6"/>
        </w:rPr>
        <w:id w:val="-836613132"/>
        <w:docPartObj>
          <w:docPartGallery w:val="Page Numbers (Bottom of Page)"/>
          <w:docPartUnique/>
        </w:docPartObj>
      </w:sdtPr>
      <w:sdtEndPr/>
      <w:sdtContent>
        <w:r w:rsidRPr="00363E63">
          <w:rPr>
            <w:color w:val="2B579A"/>
            <w:sz w:val="18"/>
            <w:shd w:val="clear" w:color="auto" w:fill="E6E6E6"/>
          </w:rPr>
          <w:fldChar w:fldCharType="begin"/>
        </w:r>
        <w:r w:rsidRPr="00363E63">
          <w:rPr>
            <w:sz w:val="18"/>
          </w:rPr>
          <w:instrText>PAGE   \* MERGEFORMAT</w:instrText>
        </w:r>
        <w:r w:rsidRPr="00363E63">
          <w:rPr>
            <w:color w:val="2B579A"/>
            <w:sz w:val="18"/>
            <w:shd w:val="clear" w:color="auto" w:fill="E6E6E6"/>
          </w:rPr>
          <w:fldChar w:fldCharType="separate"/>
        </w:r>
        <w:r w:rsidR="00D22D63">
          <w:rPr>
            <w:noProof/>
            <w:sz w:val="18"/>
          </w:rPr>
          <w:t>5</w:t>
        </w:r>
        <w:r w:rsidRPr="00363E63">
          <w:rPr>
            <w:color w:val="2B579A"/>
            <w:sz w:val="18"/>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74E41" w14:textId="3F16CA0A" w:rsidR="00C44194" w:rsidRPr="00363E63" w:rsidRDefault="00C44194"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sz w:val="18"/>
        </w:rPr>
        <w:t>polona.osrajnik@gov.si</w:t>
      </w:r>
    </w:hyperlink>
    <w:r>
      <w:rPr>
        <w:b w:val="0"/>
        <w:sz w:val="18"/>
      </w:rPr>
      <w:tab/>
    </w:r>
    <w:r>
      <w:rPr>
        <w:sz w:val="18"/>
      </w:rPr>
      <w:t xml:space="preserve"> </w:t>
    </w:r>
    <w:sdt>
      <w:sdtPr>
        <w:rPr>
          <w:color w:val="2B579A"/>
          <w:sz w:val="18"/>
          <w:szCs w:val="18"/>
          <w:shd w:val="clear" w:color="auto" w:fill="E6E6E6"/>
        </w:rPr>
        <w:id w:val="811143503"/>
        <w:docPartObj>
          <w:docPartGallery w:val="Page Numbers (Bottom of Page)"/>
          <w:docPartUnique/>
        </w:docPartObj>
      </w:sdtPr>
      <w:sdtEndPr/>
      <w:sdtContent>
        <w:r w:rsidRPr="00363E63">
          <w:rPr>
            <w:color w:val="2B579A"/>
            <w:sz w:val="18"/>
            <w:shd w:val="clear" w:color="auto" w:fill="E6E6E6"/>
          </w:rPr>
          <w:fldChar w:fldCharType="begin"/>
        </w:r>
        <w:r w:rsidRPr="00363E63">
          <w:rPr>
            <w:sz w:val="18"/>
          </w:rPr>
          <w:instrText>PAGE   \* MERGEFORMAT</w:instrText>
        </w:r>
        <w:r w:rsidRPr="00363E63">
          <w:rPr>
            <w:color w:val="2B579A"/>
            <w:sz w:val="18"/>
            <w:shd w:val="clear" w:color="auto" w:fill="E6E6E6"/>
          </w:rPr>
          <w:fldChar w:fldCharType="separate"/>
        </w:r>
        <w:r w:rsidR="00D22D63">
          <w:rPr>
            <w:noProof/>
            <w:sz w:val="18"/>
          </w:rPr>
          <w:t>2</w:t>
        </w:r>
        <w:r w:rsidRPr="00363E63">
          <w:rPr>
            <w:color w:val="2B579A"/>
            <w:sz w:val="18"/>
            <w:shd w:val="clear" w:color="auto" w:fill="E6E6E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8EC9F" w14:textId="77777777" w:rsidR="0023680B" w:rsidRPr="00363E63" w:rsidRDefault="0023680B" w:rsidP="00363E63">
    <w:pPr>
      <w:pStyle w:val="Naslov31"/>
      <w:tabs>
        <w:tab w:val="right" w:pos="9638"/>
      </w:tabs>
      <w:jc w:val="left"/>
      <w:rPr>
        <w:b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410B2" w14:textId="77777777" w:rsidR="00A11165" w:rsidRDefault="00A11165" w:rsidP="0063497B">
      <w:pPr>
        <w:spacing w:line="240" w:lineRule="auto"/>
      </w:pPr>
      <w:r>
        <w:separator/>
      </w:r>
    </w:p>
  </w:footnote>
  <w:footnote w:type="continuationSeparator" w:id="0">
    <w:p w14:paraId="50646A93" w14:textId="77777777" w:rsidR="00A11165" w:rsidRDefault="00A11165" w:rsidP="0063497B">
      <w:pPr>
        <w:spacing w:line="240" w:lineRule="auto"/>
      </w:pPr>
      <w:r>
        <w:continuationSeparator/>
      </w:r>
    </w:p>
  </w:footnote>
  <w:footnote w:type="continuationNotice" w:id="1">
    <w:p w14:paraId="7B805059" w14:textId="77777777" w:rsidR="00A11165" w:rsidRDefault="00A11165">
      <w:pPr>
        <w:spacing w:line="240" w:lineRule="auto"/>
      </w:pPr>
    </w:p>
  </w:footnote>
  <w:footnote w:id="2">
    <w:p w14:paraId="65CD37A5" w14:textId="77777777" w:rsidR="00C44194" w:rsidRDefault="00C44194" w:rsidP="00C44194">
      <w:pPr>
        <w:pStyle w:val="FootnoteText"/>
      </w:pPr>
      <w:r>
        <w:rPr>
          <w:rStyle w:val="FootnoteReference"/>
        </w:rPr>
        <w:footnoteRef/>
      </w:r>
      <w:r>
        <w:t xml:space="preserve"> According to the external trade statistics by SURS. Deflation and seasonal adjustment by IMAD. Total exports and imports adjusted for the estimate of goods processing in connection with the trade in pharmaceutical products with Switzerland.</w:t>
      </w:r>
    </w:p>
  </w:footnote>
  <w:footnote w:id="3">
    <w:p w14:paraId="0CDC98AD" w14:textId="77777777" w:rsidR="00C44194" w:rsidRDefault="00C44194" w:rsidP="00C44194">
      <w:pPr>
        <w:pStyle w:val="FootnoteText"/>
      </w:pPr>
      <w:r>
        <w:rPr>
          <w:rStyle w:val="FootnoteReference"/>
        </w:rPr>
        <w:footnoteRef/>
      </w:r>
      <w:r>
        <w:t xml:space="preserve"> Detailed data on foreign trade are available until May 2023.</w:t>
      </w:r>
    </w:p>
  </w:footnote>
  <w:footnote w:id="4">
    <w:p w14:paraId="05D9CF43" w14:textId="7C008E9B" w:rsidR="00C44194" w:rsidRDefault="00C44194" w:rsidP="00C44194">
      <w:pPr>
        <w:pStyle w:val="FootnoteText"/>
      </w:pPr>
      <w:r>
        <w:rPr>
          <w:rStyle w:val="FootnoteReference"/>
        </w:rPr>
        <w:footnoteRef/>
      </w:r>
      <w:r>
        <w:t xml:space="preserve"> The sale of furniture and domestic appliances </w:t>
      </w:r>
      <w:r w:rsidR="002B26B7">
        <w:t>wa</w:t>
      </w:r>
      <w:r w:rsidR="00A90185">
        <w:t>s</w:t>
      </w:r>
      <w:r>
        <w:t xml:space="preserve"> 11%</w:t>
      </w:r>
      <w:r w:rsidR="00475C19">
        <w:t xml:space="preserve"> lower</w:t>
      </w:r>
      <w:r>
        <w:t xml:space="preserve">, while the sale of computers and telecommunication equipment and books and sports equipment </w:t>
      </w:r>
      <w:r w:rsidR="00475C19">
        <w:t>was</w:t>
      </w:r>
      <w:r>
        <w:t xml:space="preserve"> 21%</w:t>
      </w:r>
      <w:r w:rsidR="00D02B81" w:rsidRPr="00D02B81">
        <w:t xml:space="preserve"> </w:t>
      </w:r>
      <w:r w:rsidR="00D02B81">
        <w:t>lower year-on-year.</w:t>
      </w:r>
    </w:p>
  </w:footnote>
  <w:footnote w:id="5">
    <w:p w14:paraId="0FF0E97A" w14:textId="77777777" w:rsidR="00C44194" w:rsidRDefault="00C44194" w:rsidP="00C44194">
      <w:pPr>
        <w:pStyle w:val="FootnoteText"/>
      </w:pPr>
      <w:r>
        <w:rPr>
          <w:rStyle w:val="FootnoteReference"/>
        </w:rPr>
        <w:footnoteRef/>
      </w:r>
      <w:r>
        <w:t xml:space="preserve"> According to our estimate due to a deterioration in the sale of motor vehicles and automotive fuel.</w:t>
      </w:r>
    </w:p>
  </w:footnote>
  <w:footnote w:id="6">
    <w:p w14:paraId="2839A046" w14:textId="77777777" w:rsidR="00C44194" w:rsidRDefault="00C44194" w:rsidP="00C44194">
      <w:pPr>
        <w:pStyle w:val="FootnoteText"/>
      </w:pPr>
      <w:r>
        <w:rPr>
          <w:rStyle w:val="FootnoteReference"/>
        </w:rPr>
        <w:footnoteRef/>
      </w:r>
      <w:r>
        <w:rPr>
          <w:vertAlign w:val="superscript"/>
        </w:rPr>
        <w:t xml:space="preserve"> </w:t>
      </w:r>
      <w:r>
        <w:t>The agreement provided for a 4.5% wage increase as of October last year and an increase of wages by one salary grade in April this year.</w:t>
      </w:r>
    </w:p>
  </w:footnote>
  <w:footnote w:id="7">
    <w:p w14:paraId="45C664B0" w14:textId="77777777" w:rsidR="00C44194" w:rsidRDefault="00C44194" w:rsidP="00C44194">
      <w:pPr>
        <w:pStyle w:val="FootnoteText"/>
      </w:pPr>
      <w:r>
        <w:rPr>
          <w:rStyle w:val="FootnoteReference"/>
        </w:rPr>
        <w:footnoteRef/>
      </w:r>
      <w:r>
        <w:t xml:space="preserve"> In this consumption group, consumption is most frequently measured in shops and service activities. This group also includes warehouses, agricultural activity, etc., and large manufacturing plants that do not consume significant amounts of electricity at some measurement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43B17" w14:textId="77777777" w:rsidR="00C44194" w:rsidRDefault="00C44194" w:rsidP="00182B9F">
    <w:pPr>
      <w:jc w:val="right"/>
    </w:pPr>
    <w:r>
      <w:rPr>
        <w:noProof/>
        <w:color w:val="2B579A"/>
        <w:shd w:val="clear" w:color="auto" w:fill="E6E6E6"/>
        <w:lang w:val="sl-SI" w:eastAsia="sl-SI"/>
      </w:rPr>
      <w:drawing>
        <wp:anchor distT="0" distB="0" distL="114300" distR="114300" simplePos="0" relativeHeight="251658240" behindDoc="0" locked="0" layoutInCell="1" allowOverlap="1" wp14:anchorId="342B8AE4" wp14:editId="6DF1DE7F">
          <wp:simplePos x="0" y="0"/>
          <wp:positionH relativeFrom="column">
            <wp:posOffset>-309880</wp:posOffset>
          </wp:positionH>
          <wp:positionV relativeFrom="paragraph">
            <wp:posOffset>61595</wp:posOffset>
          </wp:positionV>
          <wp:extent cx="1155700" cy="1002030"/>
          <wp:effectExtent l="0" t="0" r="6350" b="762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21 August 2023</w:t>
    </w:r>
  </w:p>
  <w:p w14:paraId="73DB97AD" w14:textId="77777777" w:rsidR="00C44194" w:rsidRDefault="00C44194" w:rsidP="00182B9F">
    <w:pPr>
      <w:jc w:val="right"/>
    </w:pPr>
  </w:p>
  <w:p w14:paraId="4A56BC23" w14:textId="77777777" w:rsidR="00C44194" w:rsidRDefault="00C44194" w:rsidP="00182B9F">
    <w:pPr>
      <w:jc w:val="right"/>
    </w:pPr>
  </w:p>
  <w:p w14:paraId="7C7C60F4" w14:textId="77777777" w:rsidR="00C44194" w:rsidRDefault="00C44194" w:rsidP="00182B9F">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C44194" w14:paraId="7608588E" w14:textId="77777777" w:rsidTr="17BB30AA">
      <w:tc>
        <w:tcPr>
          <w:tcW w:w="3210" w:type="dxa"/>
        </w:tcPr>
        <w:p w14:paraId="157BFAB3" w14:textId="77777777" w:rsidR="00C44194" w:rsidRDefault="00C44194" w:rsidP="17BB30AA">
          <w:pPr>
            <w:pStyle w:val="Header"/>
            <w:ind w:left="-115"/>
            <w:jc w:val="left"/>
          </w:pPr>
        </w:p>
      </w:tc>
      <w:tc>
        <w:tcPr>
          <w:tcW w:w="3210" w:type="dxa"/>
        </w:tcPr>
        <w:p w14:paraId="504D695C" w14:textId="77777777" w:rsidR="00C44194" w:rsidRDefault="00C44194" w:rsidP="17BB30AA">
          <w:pPr>
            <w:pStyle w:val="Header"/>
            <w:jc w:val="center"/>
          </w:pPr>
        </w:p>
      </w:tc>
      <w:tc>
        <w:tcPr>
          <w:tcW w:w="3210" w:type="dxa"/>
        </w:tcPr>
        <w:p w14:paraId="44CFE170" w14:textId="77777777" w:rsidR="00C44194" w:rsidRDefault="00C44194" w:rsidP="17BB30AA">
          <w:pPr>
            <w:pStyle w:val="Header"/>
            <w:ind w:right="-115"/>
            <w:jc w:val="right"/>
          </w:pPr>
        </w:p>
      </w:tc>
    </w:tr>
  </w:tbl>
  <w:p w14:paraId="393A3BBE" w14:textId="77777777" w:rsidR="00C44194" w:rsidRDefault="00C44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BAEEB" w14:textId="77777777" w:rsidR="0023680B" w:rsidRPr="00182B9F" w:rsidRDefault="0023680B" w:rsidP="00182B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C4FEE" w14:textId="77777777" w:rsidR="0023680B" w:rsidRDefault="002368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09F35" w14:textId="394C3422" w:rsidR="0023680B" w:rsidRDefault="00291717" w:rsidP="00291717">
    <w:pPr>
      <w:pStyle w:val="Heade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trackedChanges" w:enforcement="0"/>
  <w:defaultTabStop w:val="170"/>
  <w:hyphenationZone w:val="425"/>
  <w:drawingGridHorizontalSpacing w:val="4933"/>
  <w:drawingGridVerticalSpacing w:val="3118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1A"/>
    <w:rsid w:val="0000088F"/>
    <w:rsid w:val="00001002"/>
    <w:rsid w:val="00001FEE"/>
    <w:rsid w:val="00002FF0"/>
    <w:rsid w:val="00003B04"/>
    <w:rsid w:val="00003FDB"/>
    <w:rsid w:val="00003FE1"/>
    <w:rsid w:val="0000421F"/>
    <w:rsid w:val="00004592"/>
    <w:rsid w:val="00005262"/>
    <w:rsid w:val="000072D7"/>
    <w:rsid w:val="00007553"/>
    <w:rsid w:val="00007C46"/>
    <w:rsid w:val="00011EE3"/>
    <w:rsid w:val="00012AFB"/>
    <w:rsid w:val="0001542A"/>
    <w:rsid w:val="000208FD"/>
    <w:rsid w:val="00023F53"/>
    <w:rsid w:val="00024A12"/>
    <w:rsid w:val="00026395"/>
    <w:rsid w:val="00026572"/>
    <w:rsid w:val="00026FFE"/>
    <w:rsid w:val="000270F8"/>
    <w:rsid w:val="00027467"/>
    <w:rsid w:val="00027CED"/>
    <w:rsid w:val="000300BB"/>
    <w:rsid w:val="00030196"/>
    <w:rsid w:val="00030464"/>
    <w:rsid w:val="00030B88"/>
    <w:rsid w:val="000314B9"/>
    <w:rsid w:val="00031C60"/>
    <w:rsid w:val="000338A9"/>
    <w:rsid w:val="0003498A"/>
    <w:rsid w:val="00034EE3"/>
    <w:rsid w:val="0003556E"/>
    <w:rsid w:val="0003590F"/>
    <w:rsid w:val="00036251"/>
    <w:rsid w:val="0003687F"/>
    <w:rsid w:val="000404FA"/>
    <w:rsid w:val="000406ED"/>
    <w:rsid w:val="0004114E"/>
    <w:rsid w:val="000437A9"/>
    <w:rsid w:val="00043D9F"/>
    <w:rsid w:val="000441AA"/>
    <w:rsid w:val="00044CD2"/>
    <w:rsid w:val="00044F2F"/>
    <w:rsid w:val="00045066"/>
    <w:rsid w:val="00045AD9"/>
    <w:rsid w:val="0005036D"/>
    <w:rsid w:val="00050A2E"/>
    <w:rsid w:val="000517F3"/>
    <w:rsid w:val="00051856"/>
    <w:rsid w:val="0005198B"/>
    <w:rsid w:val="00051A50"/>
    <w:rsid w:val="0005224D"/>
    <w:rsid w:val="00055478"/>
    <w:rsid w:val="00055E56"/>
    <w:rsid w:val="000568E3"/>
    <w:rsid w:val="000569AC"/>
    <w:rsid w:val="000614C3"/>
    <w:rsid w:val="00061B43"/>
    <w:rsid w:val="00063F9A"/>
    <w:rsid w:val="00064D39"/>
    <w:rsid w:val="0006589F"/>
    <w:rsid w:val="000664B8"/>
    <w:rsid w:val="00066529"/>
    <w:rsid w:val="00066A15"/>
    <w:rsid w:val="00066BC1"/>
    <w:rsid w:val="000703C7"/>
    <w:rsid w:val="0007081A"/>
    <w:rsid w:val="00070B6E"/>
    <w:rsid w:val="000718E9"/>
    <w:rsid w:val="00071B46"/>
    <w:rsid w:val="000727A2"/>
    <w:rsid w:val="000762CD"/>
    <w:rsid w:val="000766BE"/>
    <w:rsid w:val="00077119"/>
    <w:rsid w:val="00077641"/>
    <w:rsid w:val="0007776B"/>
    <w:rsid w:val="00077811"/>
    <w:rsid w:val="00077F13"/>
    <w:rsid w:val="000811EC"/>
    <w:rsid w:val="00082208"/>
    <w:rsid w:val="000822C5"/>
    <w:rsid w:val="00082BCA"/>
    <w:rsid w:val="000831B0"/>
    <w:rsid w:val="00083747"/>
    <w:rsid w:val="0008493D"/>
    <w:rsid w:val="00084AAB"/>
    <w:rsid w:val="000872E1"/>
    <w:rsid w:val="00090B91"/>
    <w:rsid w:val="000910A6"/>
    <w:rsid w:val="00091F29"/>
    <w:rsid w:val="000920B7"/>
    <w:rsid w:val="000931F8"/>
    <w:rsid w:val="00094075"/>
    <w:rsid w:val="00094DC9"/>
    <w:rsid w:val="0009514A"/>
    <w:rsid w:val="00096228"/>
    <w:rsid w:val="00096471"/>
    <w:rsid w:val="00096D60"/>
    <w:rsid w:val="0009719F"/>
    <w:rsid w:val="00097A27"/>
    <w:rsid w:val="000A041F"/>
    <w:rsid w:val="000A06AB"/>
    <w:rsid w:val="000A0C43"/>
    <w:rsid w:val="000A3916"/>
    <w:rsid w:val="000A3AC8"/>
    <w:rsid w:val="000A4B52"/>
    <w:rsid w:val="000A533B"/>
    <w:rsid w:val="000A5A42"/>
    <w:rsid w:val="000A6352"/>
    <w:rsid w:val="000A6786"/>
    <w:rsid w:val="000A7AC7"/>
    <w:rsid w:val="000A7B01"/>
    <w:rsid w:val="000A7BD0"/>
    <w:rsid w:val="000A7BDC"/>
    <w:rsid w:val="000B0162"/>
    <w:rsid w:val="000B01D8"/>
    <w:rsid w:val="000B374A"/>
    <w:rsid w:val="000B4680"/>
    <w:rsid w:val="000B6124"/>
    <w:rsid w:val="000B6651"/>
    <w:rsid w:val="000C069B"/>
    <w:rsid w:val="000C1ACF"/>
    <w:rsid w:val="000D0DCC"/>
    <w:rsid w:val="000D1C61"/>
    <w:rsid w:val="000D1E9E"/>
    <w:rsid w:val="000D3D39"/>
    <w:rsid w:val="000D4034"/>
    <w:rsid w:val="000D5313"/>
    <w:rsid w:val="000D5418"/>
    <w:rsid w:val="000D6F1E"/>
    <w:rsid w:val="000D7202"/>
    <w:rsid w:val="000D7E5E"/>
    <w:rsid w:val="000E2BBF"/>
    <w:rsid w:val="000E31D7"/>
    <w:rsid w:val="000E69BC"/>
    <w:rsid w:val="000F051A"/>
    <w:rsid w:val="000F098F"/>
    <w:rsid w:val="000F1C86"/>
    <w:rsid w:val="000F2875"/>
    <w:rsid w:val="000F52F0"/>
    <w:rsid w:val="000F64A9"/>
    <w:rsid w:val="000F674D"/>
    <w:rsid w:val="000F7605"/>
    <w:rsid w:val="000F79AF"/>
    <w:rsid w:val="000F7E5B"/>
    <w:rsid w:val="001008BA"/>
    <w:rsid w:val="0010149A"/>
    <w:rsid w:val="0010360B"/>
    <w:rsid w:val="00103C0B"/>
    <w:rsid w:val="00104F36"/>
    <w:rsid w:val="0010563F"/>
    <w:rsid w:val="001057EB"/>
    <w:rsid w:val="001058BB"/>
    <w:rsid w:val="00106016"/>
    <w:rsid w:val="001061E9"/>
    <w:rsid w:val="0010640D"/>
    <w:rsid w:val="00110361"/>
    <w:rsid w:val="001106BC"/>
    <w:rsid w:val="0011232D"/>
    <w:rsid w:val="001133D0"/>
    <w:rsid w:val="00114A03"/>
    <w:rsid w:val="001157DF"/>
    <w:rsid w:val="00115C74"/>
    <w:rsid w:val="00115E8D"/>
    <w:rsid w:val="001165E3"/>
    <w:rsid w:val="00117484"/>
    <w:rsid w:val="00121443"/>
    <w:rsid w:val="00121702"/>
    <w:rsid w:val="00121A18"/>
    <w:rsid w:val="00122986"/>
    <w:rsid w:val="00123646"/>
    <w:rsid w:val="00123BD7"/>
    <w:rsid w:val="00123C7D"/>
    <w:rsid w:val="00123D52"/>
    <w:rsid w:val="0012412D"/>
    <w:rsid w:val="00124335"/>
    <w:rsid w:val="001248B7"/>
    <w:rsid w:val="00124AB0"/>
    <w:rsid w:val="001252A5"/>
    <w:rsid w:val="0012599F"/>
    <w:rsid w:val="00126E3F"/>
    <w:rsid w:val="00127B02"/>
    <w:rsid w:val="00130C85"/>
    <w:rsid w:val="00132A19"/>
    <w:rsid w:val="00132E81"/>
    <w:rsid w:val="00133E20"/>
    <w:rsid w:val="00134D83"/>
    <w:rsid w:val="00136D84"/>
    <w:rsid w:val="00137532"/>
    <w:rsid w:val="00140468"/>
    <w:rsid w:val="00141AF4"/>
    <w:rsid w:val="00141CE3"/>
    <w:rsid w:val="0014280E"/>
    <w:rsid w:val="00143532"/>
    <w:rsid w:val="00143E6D"/>
    <w:rsid w:val="00145201"/>
    <w:rsid w:val="00145592"/>
    <w:rsid w:val="00147DC9"/>
    <w:rsid w:val="00150C0A"/>
    <w:rsid w:val="001519A2"/>
    <w:rsid w:val="0015222B"/>
    <w:rsid w:val="0015236E"/>
    <w:rsid w:val="00154E5F"/>
    <w:rsid w:val="0015565C"/>
    <w:rsid w:val="001564C7"/>
    <w:rsid w:val="00157610"/>
    <w:rsid w:val="00157956"/>
    <w:rsid w:val="00161CE2"/>
    <w:rsid w:val="00161FAB"/>
    <w:rsid w:val="001620B5"/>
    <w:rsid w:val="00162C42"/>
    <w:rsid w:val="001633A6"/>
    <w:rsid w:val="00163F0C"/>
    <w:rsid w:val="00164B59"/>
    <w:rsid w:val="00165908"/>
    <w:rsid w:val="00166650"/>
    <w:rsid w:val="00167E78"/>
    <w:rsid w:val="00170CB1"/>
    <w:rsid w:val="001710C5"/>
    <w:rsid w:val="00171A95"/>
    <w:rsid w:val="001732D3"/>
    <w:rsid w:val="0017456F"/>
    <w:rsid w:val="001746C1"/>
    <w:rsid w:val="00174AF2"/>
    <w:rsid w:val="001750C3"/>
    <w:rsid w:val="00176A7A"/>
    <w:rsid w:val="00177110"/>
    <w:rsid w:val="0017749D"/>
    <w:rsid w:val="001803F3"/>
    <w:rsid w:val="00181653"/>
    <w:rsid w:val="00182B9F"/>
    <w:rsid w:val="00182FD7"/>
    <w:rsid w:val="001839E6"/>
    <w:rsid w:val="00184213"/>
    <w:rsid w:val="001857BA"/>
    <w:rsid w:val="001857FF"/>
    <w:rsid w:val="0018708A"/>
    <w:rsid w:val="0018791C"/>
    <w:rsid w:val="0018798B"/>
    <w:rsid w:val="00187E14"/>
    <w:rsid w:val="00187F29"/>
    <w:rsid w:val="0019138D"/>
    <w:rsid w:val="00192601"/>
    <w:rsid w:val="00193103"/>
    <w:rsid w:val="00193A25"/>
    <w:rsid w:val="0019432D"/>
    <w:rsid w:val="001943FC"/>
    <w:rsid w:val="00194934"/>
    <w:rsid w:val="00195198"/>
    <w:rsid w:val="0019672B"/>
    <w:rsid w:val="00196C55"/>
    <w:rsid w:val="001A0A9F"/>
    <w:rsid w:val="001A0C98"/>
    <w:rsid w:val="001A0D96"/>
    <w:rsid w:val="001A1A09"/>
    <w:rsid w:val="001A1CDD"/>
    <w:rsid w:val="001A244C"/>
    <w:rsid w:val="001A314B"/>
    <w:rsid w:val="001A3C37"/>
    <w:rsid w:val="001A4038"/>
    <w:rsid w:val="001A40BD"/>
    <w:rsid w:val="001A7F4E"/>
    <w:rsid w:val="001B02AE"/>
    <w:rsid w:val="001B151A"/>
    <w:rsid w:val="001B17B1"/>
    <w:rsid w:val="001B32BC"/>
    <w:rsid w:val="001B3BDC"/>
    <w:rsid w:val="001B56E9"/>
    <w:rsid w:val="001B6AE7"/>
    <w:rsid w:val="001B6DD4"/>
    <w:rsid w:val="001B7347"/>
    <w:rsid w:val="001C14E5"/>
    <w:rsid w:val="001C2E6F"/>
    <w:rsid w:val="001C6C77"/>
    <w:rsid w:val="001C74D1"/>
    <w:rsid w:val="001D1127"/>
    <w:rsid w:val="001D190D"/>
    <w:rsid w:val="001D1D53"/>
    <w:rsid w:val="001D3EBF"/>
    <w:rsid w:val="001D40D4"/>
    <w:rsid w:val="001D6793"/>
    <w:rsid w:val="001D6BBB"/>
    <w:rsid w:val="001E076C"/>
    <w:rsid w:val="001E16E8"/>
    <w:rsid w:val="001E1869"/>
    <w:rsid w:val="001E20C7"/>
    <w:rsid w:val="001E2805"/>
    <w:rsid w:val="001E3CCB"/>
    <w:rsid w:val="001E3E73"/>
    <w:rsid w:val="001E4EB1"/>
    <w:rsid w:val="001E52B8"/>
    <w:rsid w:val="001E6073"/>
    <w:rsid w:val="001E76DD"/>
    <w:rsid w:val="001F1EC3"/>
    <w:rsid w:val="001F2154"/>
    <w:rsid w:val="001F4AAB"/>
    <w:rsid w:val="001F51CD"/>
    <w:rsid w:val="001F5650"/>
    <w:rsid w:val="001F5B3E"/>
    <w:rsid w:val="001F5B73"/>
    <w:rsid w:val="001F5C72"/>
    <w:rsid w:val="001F5F3A"/>
    <w:rsid w:val="001F6045"/>
    <w:rsid w:val="001F6F22"/>
    <w:rsid w:val="001F7F76"/>
    <w:rsid w:val="00201533"/>
    <w:rsid w:val="00201EAA"/>
    <w:rsid w:val="002026AA"/>
    <w:rsid w:val="00204DD0"/>
    <w:rsid w:val="002055F5"/>
    <w:rsid w:val="00205A23"/>
    <w:rsid w:val="0020695F"/>
    <w:rsid w:val="002103C2"/>
    <w:rsid w:val="00210A42"/>
    <w:rsid w:val="00210AB7"/>
    <w:rsid w:val="00212E69"/>
    <w:rsid w:val="0021377F"/>
    <w:rsid w:val="00213808"/>
    <w:rsid w:val="00213F62"/>
    <w:rsid w:val="0021431C"/>
    <w:rsid w:val="00214746"/>
    <w:rsid w:val="00214764"/>
    <w:rsid w:val="002148E1"/>
    <w:rsid w:val="00215F59"/>
    <w:rsid w:val="0021624E"/>
    <w:rsid w:val="00222D9D"/>
    <w:rsid w:val="00222F9E"/>
    <w:rsid w:val="00225CBA"/>
    <w:rsid w:val="00226FD9"/>
    <w:rsid w:val="002270CB"/>
    <w:rsid w:val="00227B07"/>
    <w:rsid w:val="00232917"/>
    <w:rsid w:val="00232F7D"/>
    <w:rsid w:val="00232F91"/>
    <w:rsid w:val="0023423A"/>
    <w:rsid w:val="00234410"/>
    <w:rsid w:val="00234963"/>
    <w:rsid w:val="002350BD"/>
    <w:rsid w:val="0023667D"/>
    <w:rsid w:val="0023680B"/>
    <w:rsid w:val="00237DED"/>
    <w:rsid w:val="00237DF9"/>
    <w:rsid w:val="00240DC2"/>
    <w:rsid w:val="002410CD"/>
    <w:rsid w:val="00242847"/>
    <w:rsid w:val="0024326A"/>
    <w:rsid w:val="00243593"/>
    <w:rsid w:val="0024365A"/>
    <w:rsid w:val="00243D43"/>
    <w:rsid w:val="002455F5"/>
    <w:rsid w:val="002469E6"/>
    <w:rsid w:val="00247CE0"/>
    <w:rsid w:val="00247E01"/>
    <w:rsid w:val="002502F8"/>
    <w:rsid w:val="00250B18"/>
    <w:rsid w:val="00250D0F"/>
    <w:rsid w:val="002527F9"/>
    <w:rsid w:val="00252943"/>
    <w:rsid w:val="00252BB7"/>
    <w:rsid w:val="00252D6E"/>
    <w:rsid w:val="00255D1C"/>
    <w:rsid w:val="00256528"/>
    <w:rsid w:val="002573F4"/>
    <w:rsid w:val="00260617"/>
    <w:rsid w:val="0026102B"/>
    <w:rsid w:val="002616C1"/>
    <w:rsid w:val="0026208F"/>
    <w:rsid w:val="00263398"/>
    <w:rsid w:val="002638A2"/>
    <w:rsid w:val="0026430D"/>
    <w:rsid w:val="00264A4F"/>
    <w:rsid w:val="0026509A"/>
    <w:rsid w:val="00266183"/>
    <w:rsid w:val="00266D67"/>
    <w:rsid w:val="00267D49"/>
    <w:rsid w:val="00270ADD"/>
    <w:rsid w:val="002718B3"/>
    <w:rsid w:val="00271CFE"/>
    <w:rsid w:val="00273C93"/>
    <w:rsid w:val="0027659E"/>
    <w:rsid w:val="0028001B"/>
    <w:rsid w:val="00280D70"/>
    <w:rsid w:val="002817B3"/>
    <w:rsid w:val="00282BE5"/>
    <w:rsid w:val="00283E95"/>
    <w:rsid w:val="00284780"/>
    <w:rsid w:val="00285B63"/>
    <w:rsid w:val="00286994"/>
    <w:rsid w:val="002906D4"/>
    <w:rsid w:val="00291717"/>
    <w:rsid w:val="002928AB"/>
    <w:rsid w:val="0029405F"/>
    <w:rsid w:val="002941BA"/>
    <w:rsid w:val="00294738"/>
    <w:rsid w:val="00295B84"/>
    <w:rsid w:val="0029689D"/>
    <w:rsid w:val="00296E94"/>
    <w:rsid w:val="00297C89"/>
    <w:rsid w:val="00297D32"/>
    <w:rsid w:val="002A0C21"/>
    <w:rsid w:val="002A1BF5"/>
    <w:rsid w:val="002A366E"/>
    <w:rsid w:val="002A5A5D"/>
    <w:rsid w:val="002A5AC0"/>
    <w:rsid w:val="002A6C94"/>
    <w:rsid w:val="002B07FA"/>
    <w:rsid w:val="002B0AA2"/>
    <w:rsid w:val="002B12A4"/>
    <w:rsid w:val="002B257E"/>
    <w:rsid w:val="002B26B7"/>
    <w:rsid w:val="002B2898"/>
    <w:rsid w:val="002B3783"/>
    <w:rsid w:val="002B3958"/>
    <w:rsid w:val="002B4319"/>
    <w:rsid w:val="002B465E"/>
    <w:rsid w:val="002B4C3A"/>
    <w:rsid w:val="002B5361"/>
    <w:rsid w:val="002B5FF2"/>
    <w:rsid w:val="002C036A"/>
    <w:rsid w:val="002C3BFB"/>
    <w:rsid w:val="002C452E"/>
    <w:rsid w:val="002C4ED8"/>
    <w:rsid w:val="002C5990"/>
    <w:rsid w:val="002C6A6C"/>
    <w:rsid w:val="002D2C05"/>
    <w:rsid w:val="002D2E20"/>
    <w:rsid w:val="002D332E"/>
    <w:rsid w:val="002D3AD9"/>
    <w:rsid w:val="002D4515"/>
    <w:rsid w:val="002D46EF"/>
    <w:rsid w:val="002D5361"/>
    <w:rsid w:val="002D585F"/>
    <w:rsid w:val="002D5EF7"/>
    <w:rsid w:val="002D63F0"/>
    <w:rsid w:val="002D6466"/>
    <w:rsid w:val="002D7554"/>
    <w:rsid w:val="002D7AAA"/>
    <w:rsid w:val="002D7DD7"/>
    <w:rsid w:val="002E1BDA"/>
    <w:rsid w:val="002E235E"/>
    <w:rsid w:val="002E23F4"/>
    <w:rsid w:val="002E259C"/>
    <w:rsid w:val="002E33D4"/>
    <w:rsid w:val="002E3ADA"/>
    <w:rsid w:val="002E41F5"/>
    <w:rsid w:val="002E45D5"/>
    <w:rsid w:val="002E4FF2"/>
    <w:rsid w:val="002E5B46"/>
    <w:rsid w:val="002E5D11"/>
    <w:rsid w:val="002E69B6"/>
    <w:rsid w:val="002E6FAD"/>
    <w:rsid w:val="002E7033"/>
    <w:rsid w:val="002E732F"/>
    <w:rsid w:val="002E7806"/>
    <w:rsid w:val="002F0906"/>
    <w:rsid w:val="002F0BE6"/>
    <w:rsid w:val="002F0F1A"/>
    <w:rsid w:val="002F438B"/>
    <w:rsid w:val="002F49DE"/>
    <w:rsid w:val="002F53C0"/>
    <w:rsid w:val="002F61E4"/>
    <w:rsid w:val="002F7C7B"/>
    <w:rsid w:val="003004F7"/>
    <w:rsid w:val="00300B2B"/>
    <w:rsid w:val="00300F11"/>
    <w:rsid w:val="0030132B"/>
    <w:rsid w:val="00301A0A"/>
    <w:rsid w:val="0030281A"/>
    <w:rsid w:val="00304071"/>
    <w:rsid w:val="0030426B"/>
    <w:rsid w:val="00304D4C"/>
    <w:rsid w:val="00304E58"/>
    <w:rsid w:val="00305711"/>
    <w:rsid w:val="00306767"/>
    <w:rsid w:val="00311364"/>
    <w:rsid w:val="00311A31"/>
    <w:rsid w:val="00312324"/>
    <w:rsid w:val="00312781"/>
    <w:rsid w:val="00312D09"/>
    <w:rsid w:val="0031499D"/>
    <w:rsid w:val="00314D04"/>
    <w:rsid w:val="0031557D"/>
    <w:rsid w:val="00315770"/>
    <w:rsid w:val="00316091"/>
    <w:rsid w:val="00316D23"/>
    <w:rsid w:val="0032161D"/>
    <w:rsid w:val="00321BE5"/>
    <w:rsid w:val="00322257"/>
    <w:rsid w:val="0032434F"/>
    <w:rsid w:val="0032493E"/>
    <w:rsid w:val="00324AA8"/>
    <w:rsid w:val="00325138"/>
    <w:rsid w:val="00325B89"/>
    <w:rsid w:val="003261B4"/>
    <w:rsid w:val="003262BF"/>
    <w:rsid w:val="003279CC"/>
    <w:rsid w:val="00327C5B"/>
    <w:rsid w:val="00330473"/>
    <w:rsid w:val="003306E1"/>
    <w:rsid w:val="003309B9"/>
    <w:rsid w:val="00330DB6"/>
    <w:rsid w:val="00331392"/>
    <w:rsid w:val="003314DC"/>
    <w:rsid w:val="00333060"/>
    <w:rsid w:val="0033317D"/>
    <w:rsid w:val="00333772"/>
    <w:rsid w:val="00333F21"/>
    <w:rsid w:val="00334262"/>
    <w:rsid w:val="00334319"/>
    <w:rsid w:val="00334D18"/>
    <w:rsid w:val="00336321"/>
    <w:rsid w:val="003367A6"/>
    <w:rsid w:val="003374A8"/>
    <w:rsid w:val="00337C45"/>
    <w:rsid w:val="00340EB6"/>
    <w:rsid w:val="00341D86"/>
    <w:rsid w:val="00342265"/>
    <w:rsid w:val="003441FD"/>
    <w:rsid w:val="00344EBB"/>
    <w:rsid w:val="00345A39"/>
    <w:rsid w:val="003472E0"/>
    <w:rsid w:val="003474FD"/>
    <w:rsid w:val="00351414"/>
    <w:rsid w:val="003518B6"/>
    <w:rsid w:val="00354751"/>
    <w:rsid w:val="00354C63"/>
    <w:rsid w:val="00355199"/>
    <w:rsid w:val="003552C2"/>
    <w:rsid w:val="0035655D"/>
    <w:rsid w:val="00356DDB"/>
    <w:rsid w:val="00361154"/>
    <w:rsid w:val="00361682"/>
    <w:rsid w:val="00361808"/>
    <w:rsid w:val="00362587"/>
    <w:rsid w:val="003626F1"/>
    <w:rsid w:val="00363E63"/>
    <w:rsid w:val="003647C2"/>
    <w:rsid w:val="00364DF5"/>
    <w:rsid w:val="00366166"/>
    <w:rsid w:val="00367533"/>
    <w:rsid w:val="003675C9"/>
    <w:rsid w:val="003704C2"/>
    <w:rsid w:val="003711FC"/>
    <w:rsid w:val="00371520"/>
    <w:rsid w:val="003727E6"/>
    <w:rsid w:val="00372D1A"/>
    <w:rsid w:val="00374EF2"/>
    <w:rsid w:val="00374F35"/>
    <w:rsid w:val="003762F1"/>
    <w:rsid w:val="0037665C"/>
    <w:rsid w:val="0037724A"/>
    <w:rsid w:val="00377278"/>
    <w:rsid w:val="00380950"/>
    <w:rsid w:val="00380962"/>
    <w:rsid w:val="00381CE0"/>
    <w:rsid w:val="00381EF9"/>
    <w:rsid w:val="00382475"/>
    <w:rsid w:val="0038566A"/>
    <w:rsid w:val="003864FC"/>
    <w:rsid w:val="00386837"/>
    <w:rsid w:val="00387BF9"/>
    <w:rsid w:val="00387CB2"/>
    <w:rsid w:val="00390E98"/>
    <w:rsid w:val="00391B13"/>
    <w:rsid w:val="00391F02"/>
    <w:rsid w:val="00392AB8"/>
    <w:rsid w:val="00392BDA"/>
    <w:rsid w:val="00393BAD"/>
    <w:rsid w:val="0039516F"/>
    <w:rsid w:val="003953F6"/>
    <w:rsid w:val="00395486"/>
    <w:rsid w:val="0039797E"/>
    <w:rsid w:val="00397B2B"/>
    <w:rsid w:val="003A0C34"/>
    <w:rsid w:val="003A1625"/>
    <w:rsid w:val="003A49D8"/>
    <w:rsid w:val="003A58EE"/>
    <w:rsid w:val="003A7032"/>
    <w:rsid w:val="003B0528"/>
    <w:rsid w:val="003B175E"/>
    <w:rsid w:val="003B202E"/>
    <w:rsid w:val="003B3783"/>
    <w:rsid w:val="003B3ACE"/>
    <w:rsid w:val="003B3B65"/>
    <w:rsid w:val="003B4D37"/>
    <w:rsid w:val="003B5531"/>
    <w:rsid w:val="003B7ED6"/>
    <w:rsid w:val="003C00DE"/>
    <w:rsid w:val="003C03EC"/>
    <w:rsid w:val="003C0460"/>
    <w:rsid w:val="003C2443"/>
    <w:rsid w:val="003C245F"/>
    <w:rsid w:val="003C2695"/>
    <w:rsid w:val="003C3844"/>
    <w:rsid w:val="003C4A0B"/>
    <w:rsid w:val="003C5062"/>
    <w:rsid w:val="003C614E"/>
    <w:rsid w:val="003C6429"/>
    <w:rsid w:val="003C6AE4"/>
    <w:rsid w:val="003C720E"/>
    <w:rsid w:val="003C7FC6"/>
    <w:rsid w:val="003D111B"/>
    <w:rsid w:val="003D1766"/>
    <w:rsid w:val="003D1A76"/>
    <w:rsid w:val="003D1D6A"/>
    <w:rsid w:val="003D23F6"/>
    <w:rsid w:val="003D31CC"/>
    <w:rsid w:val="003D4A0B"/>
    <w:rsid w:val="003D4FB5"/>
    <w:rsid w:val="003D6F43"/>
    <w:rsid w:val="003E11F5"/>
    <w:rsid w:val="003E15BD"/>
    <w:rsid w:val="003E28FE"/>
    <w:rsid w:val="003E3B68"/>
    <w:rsid w:val="003E4F91"/>
    <w:rsid w:val="003E5A13"/>
    <w:rsid w:val="003E75FB"/>
    <w:rsid w:val="003E7A19"/>
    <w:rsid w:val="003F046B"/>
    <w:rsid w:val="003F049C"/>
    <w:rsid w:val="003F0778"/>
    <w:rsid w:val="003F1E77"/>
    <w:rsid w:val="003F213C"/>
    <w:rsid w:val="003F3375"/>
    <w:rsid w:val="003F3F33"/>
    <w:rsid w:val="003F576D"/>
    <w:rsid w:val="003F6851"/>
    <w:rsid w:val="003F7A7D"/>
    <w:rsid w:val="0040253B"/>
    <w:rsid w:val="00402FFE"/>
    <w:rsid w:val="004046BA"/>
    <w:rsid w:val="00404EC7"/>
    <w:rsid w:val="00405296"/>
    <w:rsid w:val="00405776"/>
    <w:rsid w:val="0040719E"/>
    <w:rsid w:val="0040765B"/>
    <w:rsid w:val="00407DAE"/>
    <w:rsid w:val="00410DF6"/>
    <w:rsid w:val="004143E5"/>
    <w:rsid w:val="00414CC8"/>
    <w:rsid w:val="00415FCB"/>
    <w:rsid w:val="00416060"/>
    <w:rsid w:val="00416D1B"/>
    <w:rsid w:val="00417008"/>
    <w:rsid w:val="0042166D"/>
    <w:rsid w:val="00421982"/>
    <w:rsid w:val="00423C22"/>
    <w:rsid w:val="00425874"/>
    <w:rsid w:val="00425CA6"/>
    <w:rsid w:val="00431419"/>
    <w:rsid w:val="00431AE4"/>
    <w:rsid w:val="00431CD2"/>
    <w:rsid w:val="00431EDD"/>
    <w:rsid w:val="00433941"/>
    <w:rsid w:val="00435068"/>
    <w:rsid w:val="00435EE4"/>
    <w:rsid w:val="004368FB"/>
    <w:rsid w:val="00436D2F"/>
    <w:rsid w:val="004371B6"/>
    <w:rsid w:val="00440690"/>
    <w:rsid w:val="00440FCB"/>
    <w:rsid w:val="00441B5B"/>
    <w:rsid w:val="00443660"/>
    <w:rsid w:val="00443867"/>
    <w:rsid w:val="004443C4"/>
    <w:rsid w:val="004448F4"/>
    <w:rsid w:val="00444DAA"/>
    <w:rsid w:val="0044520A"/>
    <w:rsid w:val="004479F2"/>
    <w:rsid w:val="004500F3"/>
    <w:rsid w:val="004505CD"/>
    <w:rsid w:val="00450733"/>
    <w:rsid w:val="00451F85"/>
    <w:rsid w:val="00452589"/>
    <w:rsid w:val="00452804"/>
    <w:rsid w:val="00452A9A"/>
    <w:rsid w:val="00452AB7"/>
    <w:rsid w:val="00454D07"/>
    <w:rsid w:val="00455C0C"/>
    <w:rsid w:val="00456095"/>
    <w:rsid w:val="004563B1"/>
    <w:rsid w:val="0046091C"/>
    <w:rsid w:val="00464D01"/>
    <w:rsid w:val="00466374"/>
    <w:rsid w:val="00466676"/>
    <w:rsid w:val="00466A0D"/>
    <w:rsid w:val="004673B6"/>
    <w:rsid w:val="004675D0"/>
    <w:rsid w:val="00471019"/>
    <w:rsid w:val="004712E5"/>
    <w:rsid w:val="00472608"/>
    <w:rsid w:val="00473642"/>
    <w:rsid w:val="00473A92"/>
    <w:rsid w:val="00473DEC"/>
    <w:rsid w:val="0047479C"/>
    <w:rsid w:val="00474C98"/>
    <w:rsid w:val="004757A4"/>
    <w:rsid w:val="00475C19"/>
    <w:rsid w:val="0047667E"/>
    <w:rsid w:val="00477274"/>
    <w:rsid w:val="00480AAD"/>
    <w:rsid w:val="00481BD5"/>
    <w:rsid w:val="00482C8A"/>
    <w:rsid w:val="004845F1"/>
    <w:rsid w:val="00484EC5"/>
    <w:rsid w:val="004850BC"/>
    <w:rsid w:val="00485483"/>
    <w:rsid w:val="00485665"/>
    <w:rsid w:val="00485F72"/>
    <w:rsid w:val="0048632B"/>
    <w:rsid w:val="00486426"/>
    <w:rsid w:val="00487EED"/>
    <w:rsid w:val="00490E2A"/>
    <w:rsid w:val="0049183B"/>
    <w:rsid w:val="00491F55"/>
    <w:rsid w:val="004926C7"/>
    <w:rsid w:val="004939B7"/>
    <w:rsid w:val="0049494B"/>
    <w:rsid w:val="004950C9"/>
    <w:rsid w:val="004962C8"/>
    <w:rsid w:val="004970E5"/>
    <w:rsid w:val="0049731A"/>
    <w:rsid w:val="004976B4"/>
    <w:rsid w:val="004A0410"/>
    <w:rsid w:val="004A130A"/>
    <w:rsid w:val="004A2DDE"/>
    <w:rsid w:val="004A4342"/>
    <w:rsid w:val="004A463E"/>
    <w:rsid w:val="004A57A4"/>
    <w:rsid w:val="004A57F7"/>
    <w:rsid w:val="004A758A"/>
    <w:rsid w:val="004A775C"/>
    <w:rsid w:val="004A7D92"/>
    <w:rsid w:val="004B0F9D"/>
    <w:rsid w:val="004B1873"/>
    <w:rsid w:val="004B1C59"/>
    <w:rsid w:val="004B3308"/>
    <w:rsid w:val="004B334B"/>
    <w:rsid w:val="004B54EA"/>
    <w:rsid w:val="004B6107"/>
    <w:rsid w:val="004B6466"/>
    <w:rsid w:val="004B6708"/>
    <w:rsid w:val="004B698E"/>
    <w:rsid w:val="004C05DB"/>
    <w:rsid w:val="004C06C7"/>
    <w:rsid w:val="004C1493"/>
    <w:rsid w:val="004C3C91"/>
    <w:rsid w:val="004C3D99"/>
    <w:rsid w:val="004C4C40"/>
    <w:rsid w:val="004C6044"/>
    <w:rsid w:val="004C7454"/>
    <w:rsid w:val="004C7A32"/>
    <w:rsid w:val="004D2590"/>
    <w:rsid w:val="004D28ED"/>
    <w:rsid w:val="004D3F5C"/>
    <w:rsid w:val="004D40E5"/>
    <w:rsid w:val="004D476F"/>
    <w:rsid w:val="004D4B52"/>
    <w:rsid w:val="004D692E"/>
    <w:rsid w:val="004D7147"/>
    <w:rsid w:val="004E06D1"/>
    <w:rsid w:val="004E189B"/>
    <w:rsid w:val="004E1F57"/>
    <w:rsid w:val="004E1FC5"/>
    <w:rsid w:val="004E223F"/>
    <w:rsid w:val="004E2A41"/>
    <w:rsid w:val="004E2BE5"/>
    <w:rsid w:val="004E2D3A"/>
    <w:rsid w:val="004E2E19"/>
    <w:rsid w:val="004E3278"/>
    <w:rsid w:val="004E3CEA"/>
    <w:rsid w:val="004E3E5C"/>
    <w:rsid w:val="004E442F"/>
    <w:rsid w:val="004E62E5"/>
    <w:rsid w:val="004E6F6A"/>
    <w:rsid w:val="004E71F9"/>
    <w:rsid w:val="004E7C78"/>
    <w:rsid w:val="004F2445"/>
    <w:rsid w:val="004F2CF2"/>
    <w:rsid w:val="004F3523"/>
    <w:rsid w:val="004F4AF9"/>
    <w:rsid w:val="004F5B0D"/>
    <w:rsid w:val="004F76B7"/>
    <w:rsid w:val="0050042E"/>
    <w:rsid w:val="0050091F"/>
    <w:rsid w:val="00500B50"/>
    <w:rsid w:val="005011B7"/>
    <w:rsid w:val="00503921"/>
    <w:rsid w:val="00503A80"/>
    <w:rsid w:val="00504504"/>
    <w:rsid w:val="00505099"/>
    <w:rsid w:val="00505D39"/>
    <w:rsid w:val="00507DB0"/>
    <w:rsid w:val="00512844"/>
    <w:rsid w:val="00512984"/>
    <w:rsid w:val="00512D38"/>
    <w:rsid w:val="00512DDB"/>
    <w:rsid w:val="005132E8"/>
    <w:rsid w:val="00513887"/>
    <w:rsid w:val="00513B09"/>
    <w:rsid w:val="00520B19"/>
    <w:rsid w:val="0052278B"/>
    <w:rsid w:val="00522C91"/>
    <w:rsid w:val="0052312F"/>
    <w:rsid w:val="00524B0B"/>
    <w:rsid w:val="00525828"/>
    <w:rsid w:val="00525F98"/>
    <w:rsid w:val="00526025"/>
    <w:rsid w:val="0052762E"/>
    <w:rsid w:val="00527841"/>
    <w:rsid w:val="00530351"/>
    <w:rsid w:val="00532F53"/>
    <w:rsid w:val="00533D3E"/>
    <w:rsid w:val="00534457"/>
    <w:rsid w:val="00535ADB"/>
    <w:rsid w:val="0053768D"/>
    <w:rsid w:val="005403A5"/>
    <w:rsid w:val="00540A33"/>
    <w:rsid w:val="005415BE"/>
    <w:rsid w:val="00543657"/>
    <w:rsid w:val="00543882"/>
    <w:rsid w:val="00544D9B"/>
    <w:rsid w:val="00544FD8"/>
    <w:rsid w:val="00545D45"/>
    <w:rsid w:val="00545E7F"/>
    <w:rsid w:val="00546DBF"/>
    <w:rsid w:val="005471A8"/>
    <w:rsid w:val="005508E9"/>
    <w:rsid w:val="00550A6F"/>
    <w:rsid w:val="005526B6"/>
    <w:rsid w:val="00553173"/>
    <w:rsid w:val="005532E1"/>
    <w:rsid w:val="0055330D"/>
    <w:rsid w:val="0055332B"/>
    <w:rsid w:val="005547C9"/>
    <w:rsid w:val="00555015"/>
    <w:rsid w:val="00556022"/>
    <w:rsid w:val="00556683"/>
    <w:rsid w:val="0055776D"/>
    <w:rsid w:val="005612FF"/>
    <w:rsid w:val="00561359"/>
    <w:rsid w:val="00561835"/>
    <w:rsid w:val="00561C9A"/>
    <w:rsid w:val="00562208"/>
    <w:rsid w:val="00562308"/>
    <w:rsid w:val="00562C31"/>
    <w:rsid w:val="00563A08"/>
    <w:rsid w:val="00563ABF"/>
    <w:rsid w:val="00564B65"/>
    <w:rsid w:val="00564C77"/>
    <w:rsid w:val="00565773"/>
    <w:rsid w:val="00565C83"/>
    <w:rsid w:val="00565DD5"/>
    <w:rsid w:val="005675B2"/>
    <w:rsid w:val="005717FF"/>
    <w:rsid w:val="00571C75"/>
    <w:rsid w:val="00572A61"/>
    <w:rsid w:val="00573435"/>
    <w:rsid w:val="00574002"/>
    <w:rsid w:val="00574D5F"/>
    <w:rsid w:val="005768B9"/>
    <w:rsid w:val="005817F6"/>
    <w:rsid w:val="0058396F"/>
    <w:rsid w:val="00583F94"/>
    <w:rsid w:val="00583FE3"/>
    <w:rsid w:val="005850BD"/>
    <w:rsid w:val="0058589B"/>
    <w:rsid w:val="005869BA"/>
    <w:rsid w:val="00591037"/>
    <w:rsid w:val="00591461"/>
    <w:rsid w:val="00592EB2"/>
    <w:rsid w:val="00593BD2"/>
    <w:rsid w:val="005941CE"/>
    <w:rsid w:val="005943D1"/>
    <w:rsid w:val="00594805"/>
    <w:rsid w:val="00595073"/>
    <w:rsid w:val="0059747D"/>
    <w:rsid w:val="005A00D0"/>
    <w:rsid w:val="005A2101"/>
    <w:rsid w:val="005A36AC"/>
    <w:rsid w:val="005A3F5F"/>
    <w:rsid w:val="005A4919"/>
    <w:rsid w:val="005A562A"/>
    <w:rsid w:val="005A5745"/>
    <w:rsid w:val="005A6A74"/>
    <w:rsid w:val="005A7A25"/>
    <w:rsid w:val="005A7F73"/>
    <w:rsid w:val="005B125E"/>
    <w:rsid w:val="005B1C19"/>
    <w:rsid w:val="005B1E85"/>
    <w:rsid w:val="005B3676"/>
    <w:rsid w:val="005B54FB"/>
    <w:rsid w:val="005B57E4"/>
    <w:rsid w:val="005B655F"/>
    <w:rsid w:val="005B67A1"/>
    <w:rsid w:val="005C093F"/>
    <w:rsid w:val="005C5A12"/>
    <w:rsid w:val="005C5ADC"/>
    <w:rsid w:val="005D0331"/>
    <w:rsid w:val="005D0794"/>
    <w:rsid w:val="005D0B1B"/>
    <w:rsid w:val="005D110B"/>
    <w:rsid w:val="005D15F1"/>
    <w:rsid w:val="005D268F"/>
    <w:rsid w:val="005D2789"/>
    <w:rsid w:val="005D3B64"/>
    <w:rsid w:val="005D3D6F"/>
    <w:rsid w:val="005D404D"/>
    <w:rsid w:val="005D4938"/>
    <w:rsid w:val="005D5024"/>
    <w:rsid w:val="005D5D51"/>
    <w:rsid w:val="005D7820"/>
    <w:rsid w:val="005E104A"/>
    <w:rsid w:val="005E1743"/>
    <w:rsid w:val="005E1B26"/>
    <w:rsid w:val="005E25F8"/>
    <w:rsid w:val="005E2ED2"/>
    <w:rsid w:val="005E46FB"/>
    <w:rsid w:val="005E4C4B"/>
    <w:rsid w:val="005E5021"/>
    <w:rsid w:val="005E55CF"/>
    <w:rsid w:val="005E625A"/>
    <w:rsid w:val="005F0096"/>
    <w:rsid w:val="005F0F5B"/>
    <w:rsid w:val="005F13DD"/>
    <w:rsid w:val="005F26FA"/>
    <w:rsid w:val="005F472D"/>
    <w:rsid w:val="005F4DE7"/>
    <w:rsid w:val="005F5942"/>
    <w:rsid w:val="005F5FF0"/>
    <w:rsid w:val="00600F5D"/>
    <w:rsid w:val="0060131A"/>
    <w:rsid w:val="006020EE"/>
    <w:rsid w:val="00602743"/>
    <w:rsid w:val="00602926"/>
    <w:rsid w:val="0060343B"/>
    <w:rsid w:val="00603A9F"/>
    <w:rsid w:val="00604278"/>
    <w:rsid w:val="00604418"/>
    <w:rsid w:val="00605665"/>
    <w:rsid w:val="00606697"/>
    <w:rsid w:val="006079CB"/>
    <w:rsid w:val="00607A8F"/>
    <w:rsid w:val="00610156"/>
    <w:rsid w:val="00611B10"/>
    <w:rsid w:val="00611EE7"/>
    <w:rsid w:val="0061466E"/>
    <w:rsid w:val="00615D5B"/>
    <w:rsid w:val="00616757"/>
    <w:rsid w:val="00620784"/>
    <w:rsid w:val="0062162F"/>
    <w:rsid w:val="0062213B"/>
    <w:rsid w:val="006233C4"/>
    <w:rsid w:val="006250C5"/>
    <w:rsid w:val="00625D0D"/>
    <w:rsid w:val="006269CE"/>
    <w:rsid w:val="00627F83"/>
    <w:rsid w:val="006301A7"/>
    <w:rsid w:val="0063083D"/>
    <w:rsid w:val="006313EB"/>
    <w:rsid w:val="006326BA"/>
    <w:rsid w:val="00632DC6"/>
    <w:rsid w:val="00633FFF"/>
    <w:rsid w:val="0063497B"/>
    <w:rsid w:val="006363CB"/>
    <w:rsid w:val="00636961"/>
    <w:rsid w:val="00636E5A"/>
    <w:rsid w:val="00636F33"/>
    <w:rsid w:val="00642F80"/>
    <w:rsid w:val="006439A6"/>
    <w:rsid w:val="006443E7"/>
    <w:rsid w:val="0064449B"/>
    <w:rsid w:val="006474DA"/>
    <w:rsid w:val="00647B22"/>
    <w:rsid w:val="00650921"/>
    <w:rsid w:val="0065182E"/>
    <w:rsid w:val="006523F4"/>
    <w:rsid w:val="0065261E"/>
    <w:rsid w:val="00652795"/>
    <w:rsid w:val="00653C05"/>
    <w:rsid w:val="00654EA2"/>
    <w:rsid w:val="00655AAD"/>
    <w:rsid w:val="006573F9"/>
    <w:rsid w:val="0066003E"/>
    <w:rsid w:val="00660F6B"/>
    <w:rsid w:val="00661DAD"/>
    <w:rsid w:val="00661F4C"/>
    <w:rsid w:val="00662BB5"/>
    <w:rsid w:val="00663944"/>
    <w:rsid w:val="006666E6"/>
    <w:rsid w:val="00671853"/>
    <w:rsid w:val="00673FA1"/>
    <w:rsid w:val="006755B6"/>
    <w:rsid w:val="00676C6F"/>
    <w:rsid w:val="00677E30"/>
    <w:rsid w:val="00677F2B"/>
    <w:rsid w:val="00680807"/>
    <w:rsid w:val="00680D0A"/>
    <w:rsid w:val="00681DBE"/>
    <w:rsid w:val="0068201B"/>
    <w:rsid w:val="0068202F"/>
    <w:rsid w:val="0068688B"/>
    <w:rsid w:val="0068738A"/>
    <w:rsid w:val="006875F1"/>
    <w:rsid w:val="00693D07"/>
    <w:rsid w:val="006965FC"/>
    <w:rsid w:val="00697FFC"/>
    <w:rsid w:val="006A011E"/>
    <w:rsid w:val="006A048D"/>
    <w:rsid w:val="006A0860"/>
    <w:rsid w:val="006A2008"/>
    <w:rsid w:val="006A2CED"/>
    <w:rsid w:val="006A3DC9"/>
    <w:rsid w:val="006A4B04"/>
    <w:rsid w:val="006A5A88"/>
    <w:rsid w:val="006A5F12"/>
    <w:rsid w:val="006A6820"/>
    <w:rsid w:val="006B1051"/>
    <w:rsid w:val="006B2767"/>
    <w:rsid w:val="006B3256"/>
    <w:rsid w:val="006B3E32"/>
    <w:rsid w:val="006B5071"/>
    <w:rsid w:val="006B5173"/>
    <w:rsid w:val="006B559C"/>
    <w:rsid w:val="006B5F12"/>
    <w:rsid w:val="006B5F87"/>
    <w:rsid w:val="006B695A"/>
    <w:rsid w:val="006B69EC"/>
    <w:rsid w:val="006B6A8A"/>
    <w:rsid w:val="006B79A3"/>
    <w:rsid w:val="006B7B50"/>
    <w:rsid w:val="006C1629"/>
    <w:rsid w:val="006C1B06"/>
    <w:rsid w:val="006C2117"/>
    <w:rsid w:val="006C2A10"/>
    <w:rsid w:val="006C32F4"/>
    <w:rsid w:val="006C5306"/>
    <w:rsid w:val="006C623E"/>
    <w:rsid w:val="006D031A"/>
    <w:rsid w:val="006D1801"/>
    <w:rsid w:val="006D1DD4"/>
    <w:rsid w:val="006D21EF"/>
    <w:rsid w:val="006D3C5D"/>
    <w:rsid w:val="006D45D4"/>
    <w:rsid w:val="006D507F"/>
    <w:rsid w:val="006D5D77"/>
    <w:rsid w:val="006D65AE"/>
    <w:rsid w:val="006D660A"/>
    <w:rsid w:val="006D7232"/>
    <w:rsid w:val="006D7946"/>
    <w:rsid w:val="006E039A"/>
    <w:rsid w:val="006E1C81"/>
    <w:rsid w:val="006E4FB1"/>
    <w:rsid w:val="006E5E6C"/>
    <w:rsid w:val="006E5FD0"/>
    <w:rsid w:val="006E6211"/>
    <w:rsid w:val="006E66CD"/>
    <w:rsid w:val="006E6F35"/>
    <w:rsid w:val="006E7ADF"/>
    <w:rsid w:val="006E7B47"/>
    <w:rsid w:val="006F13BE"/>
    <w:rsid w:val="006F1506"/>
    <w:rsid w:val="006F38EB"/>
    <w:rsid w:val="006F3DD0"/>
    <w:rsid w:val="006F41E8"/>
    <w:rsid w:val="006F43B2"/>
    <w:rsid w:val="006F4504"/>
    <w:rsid w:val="006F486A"/>
    <w:rsid w:val="006F5B45"/>
    <w:rsid w:val="006F6257"/>
    <w:rsid w:val="006F656D"/>
    <w:rsid w:val="006F67F3"/>
    <w:rsid w:val="0070045F"/>
    <w:rsid w:val="007006A5"/>
    <w:rsid w:val="00700E8C"/>
    <w:rsid w:val="00701540"/>
    <w:rsid w:val="007016EF"/>
    <w:rsid w:val="00703386"/>
    <w:rsid w:val="00704611"/>
    <w:rsid w:val="0070543D"/>
    <w:rsid w:val="00705601"/>
    <w:rsid w:val="0070599E"/>
    <w:rsid w:val="0070691C"/>
    <w:rsid w:val="00706CFA"/>
    <w:rsid w:val="0071042B"/>
    <w:rsid w:val="007115FF"/>
    <w:rsid w:val="00711660"/>
    <w:rsid w:val="00711E75"/>
    <w:rsid w:val="00712C6D"/>
    <w:rsid w:val="00713A25"/>
    <w:rsid w:val="00713E47"/>
    <w:rsid w:val="007169A5"/>
    <w:rsid w:val="0072078D"/>
    <w:rsid w:val="00722739"/>
    <w:rsid w:val="007230EA"/>
    <w:rsid w:val="00723AB9"/>
    <w:rsid w:val="00724B8E"/>
    <w:rsid w:val="007251C5"/>
    <w:rsid w:val="00727673"/>
    <w:rsid w:val="0073024A"/>
    <w:rsid w:val="0073130F"/>
    <w:rsid w:val="00731B6F"/>
    <w:rsid w:val="007321D7"/>
    <w:rsid w:val="007328FE"/>
    <w:rsid w:val="007336E6"/>
    <w:rsid w:val="00733EDA"/>
    <w:rsid w:val="00735871"/>
    <w:rsid w:val="00735B9D"/>
    <w:rsid w:val="0073739E"/>
    <w:rsid w:val="00737F03"/>
    <w:rsid w:val="0074066A"/>
    <w:rsid w:val="007406E0"/>
    <w:rsid w:val="0074099C"/>
    <w:rsid w:val="00740E81"/>
    <w:rsid w:val="00740ED0"/>
    <w:rsid w:val="007411B1"/>
    <w:rsid w:val="0074135A"/>
    <w:rsid w:val="00741F57"/>
    <w:rsid w:val="007421B2"/>
    <w:rsid w:val="00742AB6"/>
    <w:rsid w:val="0074452D"/>
    <w:rsid w:val="0074466E"/>
    <w:rsid w:val="00744B8D"/>
    <w:rsid w:val="00745582"/>
    <w:rsid w:val="00745B83"/>
    <w:rsid w:val="00746833"/>
    <w:rsid w:val="0074688F"/>
    <w:rsid w:val="007475BA"/>
    <w:rsid w:val="00750C16"/>
    <w:rsid w:val="0075126B"/>
    <w:rsid w:val="00751DB7"/>
    <w:rsid w:val="0075207D"/>
    <w:rsid w:val="00752FAF"/>
    <w:rsid w:val="007530F7"/>
    <w:rsid w:val="00754926"/>
    <w:rsid w:val="00756010"/>
    <w:rsid w:val="007572F8"/>
    <w:rsid w:val="00757D2A"/>
    <w:rsid w:val="007601F2"/>
    <w:rsid w:val="00760EA4"/>
    <w:rsid w:val="007618C4"/>
    <w:rsid w:val="00762390"/>
    <w:rsid w:val="007623D0"/>
    <w:rsid w:val="00762984"/>
    <w:rsid w:val="007631F9"/>
    <w:rsid w:val="007653E4"/>
    <w:rsid w:val="0076576A"/>
    <w:rsid w:val="007657A0"/>
    <w:rsid w:val="00765BC5"/>
    <w:rsid w:val="00766142"/>
    <w:rsid w:val="007670C7"/>
    <w:rsid w:val="007674B2"/>
    <w:rsid w:val="00770980"/>
    <w:rsid w:val="00770AD2"/>
    <w:rsid w:val="00770F0D"/>
    <w:rsid w:val="00772CAA"/>
    <w:rsid w:val="00772CB0"/>
    <w:rsid w:val="007731E4"/>
    <w:rsid w:val="00774047"/>
    <w:rsid w:val="007741B7"/>
    <w:rsid w:val="007759C0"/>
    <w:rsid w:val="00775C26"/>
    <w:rsid w:val="007760D3"/>
    <w:rsid w:val="007770B5"/>
    <w:rsid w:val="007770C8"/>
    <w:rsid w:val="0078021F"/>
    <w:rsid w:val="007824BD"/>
    <w:rsid w:val="00782635"/>
    <w:rsid w:val="007832A7"/>
    <w:rsid w:val="00783896"/>
    <w:rsid w:val="00786195"/>
    <w:rsid w:val="00786C42"/>
    <w:rsid w:val="0078752E"/>
    <w:rsid w:val="00787A40"/>
    <w:rsid w:val="007904E1"/>
    <w:rsid w:val="00790F4D"/>
    <w:rsid w:val="00792329"/>
    <w:rsid w:val="00792E18"/>
    <w:rsid w:val="00793AB6"/>
    <w:rsid w:val="0079410F"/>
    <w:rsid w:val="00794B98"/>
    <w:rsid w:val="00795204"/>
    <w:rsid w:val="00795218"/>
    <w:rsid w:val="007953B1"/>
    <w:rsid w:val="00795C04"/>
    <w:rsid w:val="00795DE6"/>
    <w:rsid w:val="00796F31"/>
    <w:rsid w:val="007A04E9"/>
    <w:rsid w:val="007A0955"/>
    <w:rsid w:val="007A0B59"/>
    <w:rsid w:val="007A0F09"/>
    <w:rsid w:val="007A3796"/>
    <w:rsid w:val="007A6B1E"/>
    <w:rsid w:val="007A6C2D"/>
    <w:rsid w:val="007A6C35"/>
    <w:rsid w:val="007B0026"/>
    <w:rsid w:val="007B074D"/>
    <w:rsid w:val="007B0BCC"/>
    <w:rsid w:val="007B0E54"/>
    <w:rsid w:val="007B1AE0"/>
    <w:rsid w:val="007B1B9F"/>
    <w:rsid w:val="007B24EF"/>
    <w:rsid w:val="007B2E0C"/>
    <w:rsid w:val="007B3080"/>
    <w:rsid w:val="007B313A"/>
    <w:rsid w:val="007B3C10"/>
    <w:rsid w:val="007B44EF"/>
    <w:rsid w:val="007B4CBE"/>
    <w:rsid w:val="007B5D87"/>
    <w:rsid w:val="007B708A"/>
    <w:rsid w:val="007B7110"/>
    <w:rsid w:val="007B7997"/>
    <w:rsid w:val="007B7BA8"/>
    <w:rsid w:val="007B7BC4"/>
    <w:rsid w:val="007C29BC"/>
    <w:rsid w:val="007C4B7A"/>
    <w:rsid w:val="007C4F1A"/>
    <w:rsid w:val="007C5222"/>
    <w:rsid w:val="007C528B"/>
    <w:rsid w:val="007C7766"/>
    <w:rsid w:val="007D0791"/>
    <w:rsid w:val="007D301C"/>
    <w:rsid w:val="007D3C45"/>
    <w:rsid w:val="007D47B3"/>
    <w:rsid w:val="007D6F5F"/>
    <w:rsid w:val="007D71D3"/>
    <w:rsid w:val="007E0425"/>
    <w:rsid w:val="007E08A0"/>
    <w:rsid w:val="007E094B"/>
    <w:rsid w:val="007E1539"/>
    <w:rsid w:val="007E3050"/>
    <w:rsid w:val="007E3060"/>
    <w:rsid w:val="007E3140"/>
    <w:rsid w:val="007E3625"/>
    <w:rsid w:val="007E3A30"/>
    <w:rsid w:val="007E3A5E"/>
    <w:rsid w:val="007E3E5F"/>
    <w:rsid w:val="007E77B8"/>
    <w:rsid w:val="007F09CD"/>
    <w:rsid w:val="007F1307"/>
    <w:rsid w:val="007F13BE"/>
    <w:rsid w:val="007F1690"/>
    <w:rsid w:val="007F2A03"/>
    <w:rsid w:val="007F2A0E"/>
    <w:rsid w:val="007F365B"/>
    <w:rsid w:val="007F485F"/>
    <w:rsid w:val="007F5016"/>
    <w:rsid w:val="007F55A6"/>
    <w:rsid w:val="007F55F5"/>
    <w:rsid w:val="007F5AD0"/>
    <w:rsid w:val="007F6D9A"/>
    <w:rsid w:val="007F76A4"/>
    <w:rsid w:val="007F7D1D"/>
    <w:rsid w:val="00800838"/>
    <w:rsid w:val="00801594"/>
    <w:rsid w:val="0080292F"/>
    <w:rsid w:val="00804645"/>
    <w:rsid w:val="00804742"/>
    <w:rsid w:val="008049AA"/>
    <w:rsid w:val="00805CD2"/>
    <w:rsid w:val="00807D14"/>
    <w:rsid w:val="00812D81"/>
    <w:rsid w:val="00813F80"/>
    <w:rsid w:val="008149AE"/>
    <w:rsid w:val="008149ED"/>
    <w:rsid w:val="0081534E"/>
    <w:rsid w:val="00815D60"/>
    <w:rsid w:val="00817FB4"/>
    <w:rsid w:val="00820330"/>
    <w:rsid w:val="00820AC7"/>
    <w:rsid w:val="00822375"/>
    <w:rsid w:val="00822482"/>
    <w:rsid w:val="0082267D"/>
    <w:rsid w:val="008240F0"/>
    <w:rsid w:val="0082422A"/>
    <w:rsid w:val="00824865"/>
    <w:rsid w:val="0082505A"/>
    <w:rsid w:val="0082788F"/>
    <w:rsid w:val="008301BC"/>
    <w:rsid w:val="00832B75"/>
    <w:rsid w:val="008336DC"/>
    <w:rsid w:val="00834924"/>
    <w:rsid w:val="00835DC4"/>
    <w:rsid w:val="00835EB5"/>
    <w:rsid w:val="00840736"/>
    <w:rsid w:val="0084073E"/>
    <w:rsid w:val="0084080E"/>
    <w:rsid w:val="00840935"/>
    <w:rsid w:val="00841052"/>
    <w:rsid w:val="0084141A"/>
    <w:rsid w:val="008431F6"/>
    <w:rsid w:val="008444CD"/>
    <w:rsid w:val="008444D1"/>
    <w:rsid w:val="00846289"/>
    <w:rsid w:val="0084684F"/>
    <w:rsid w:val="00846DA2"/>
    <w:rsid w:val="00846DD5"/>
    <w:rsid w:val="0084784F"/>
    <w:rsid w:val="00847BCE"/>
    <w:rsid w:val="008507B0"/>
    <w:rsid w:val="00850FF7"/>
    <w:rsid w:val="00851672"/>
    <w:rsid w:val="00851B85"/>
    <w:rsid w:val="00852509"/>
    <w:rsid w:val="008525F9"/>
    <w:rsid w:val="00852CFC"/>
    <w:rsid w:val="00852F8F"/>
    <w:rsid w:val="00853905"/>
    <w:rsid w:val="00853A07"/>
    <w:rsid w:val="008541ED"/>
    <w:rsid w:val="008557A7"/>
    <w:rsid w:val="00855CE5"/>
    <w:rsid w:val="008566C2"/>
    <w:rsid w:val="008572EF"/>
    <w:rsid w:val="00857673"/>
    <w:rsid w:val="00860582"/>
    <w:rsid w:val="00861FDE"/>
    <w:rsid w:val="008625F7"/>
    <w:rsid w:val="008633AD"/>
    <w:rsid w:val="008637AE"/>
    <w:rsid w:val="00863817"/>
    <w:rsid w:val="008642D9"/>
    <w:rsid w:val="008644BC"/>
    <w:rsid w:val="008646FF"/>
    <w:rsid w:val="00864A3E"/>
    <w:rsid w:val="008672ED"/>
    <w:rsid w:val="008678A7"/>
    <w:rsid w:val="00867F45"/>
    <w:rsid w:val="00870158"/>
    <w:rsid w:val="008713BF"/>
    <w:rsid w:val="00871889"/>
    <w:rsid w:val="00871E2C"/>
    <w:rsid w:val="008758DA"/>
    <w:rsid w:val="00875D48"/>
    <w:rsid w:val="00876109"/>
    <w:rsid w:val="00877A7E"/>
    <w:rsid w:val="00877B16"/>
    <w:rsid w:val="008818C4"/>
    <w:rsid w:val="00881C61"/>
    <w:rsid w:val="0088457B"/>
    <w:rsid w:val="0088498B"/>
    <w:rsid w:val="00884D3F"/>
    <w:rsid w:val="00884F06"/>
    <w:rsid w:val="00885333"/>
    <w:rsid w:val="008856E3"/>
    <w:rsid w:val="00886507"/>
    <w:rsid w:val="0088732F"/>
    <w:rsid w:val="008874FA"/>
    <w:rsid w:val="00887D7E"/>
    <w:rsid w:val="0089000B"/>
    <w:rsid w:val="0089056E"/>
    <w:rsid w:val="008905B7"/>
    <w:rsid w:val="0089259B"/>
    <w:rsid w:val="008930B0"/>
    <w:rsid w:val="0089357B"/>
    <w:rsid w:val="00893E1F"/>
    <w:rsid w:val="0089437A"/>
    <w:rsid w:val="00894DCF"/>
    <w:rsid w:val="00895CDB"/>
    <w:rsid w:val="008963FD"/>
    <w:rsid w:val="00896586"/>
    <w:rsid w:val="00896CA4"/>
    <w:rsid w:val="00897156"/>
    <w:rsid w:val="00897EB1"/>
    <w:rsid w:val="008A0652"/>
    <w:rsid w:val="008A1993"/>
    <w:rsid w:val="008A36A4"/>
    <w:rsid w:val="008A4188"/>
    <w:rsid w:val="008A523C"/>
    <w:rsid w:val="008A569B"/>
    <w:rsid w:val="008B01F8"/>
    <w:rsid w:val="008B05B7"/>
    <w:rsid w:val="008B077B"/>
    <w:rsid w:val="008B0BB3"/>
    <w:rsid w:val="008B10C2"/>
    <w:rsid w:val="008B11CE"/>
    <w:rsid w:val="008B129E"/>
    <w:rsid w:val="008B187B"/>
    <w:rsid w:val="008B191E"/>
    <w:rsid w:val="008B30D5"/>
    <w:rsid w:val="008B3BA9"/>
    <w:rsid w:val="008B6602"/>
    <w:rsid w:val="008B6841"/>
    <w:rsid w:val="008B7AC6"/>
    <w:rsid w:val="008C1F73"/>
    <w:rsid w:val="008C22F8"/>
    <w:rsid w:val="008C24A1"/>
    <w:rsid w:val="008C24C8"/>
    <w:rsid w:val="008C2D98"/>
    <w:rsid w:val="008C3741"/>
    <w:rsid w:val="008C5FB4"/>
    <w:rsid w:val="008C62CF"/>
    <w:rsid w:val="008C63E3"/>
    <w:rsid w:val="008C6955"/>
    <w:rsid w:val="008D1BAD"/>
    <w:rsid w:val="008D1C24"/>
    <w:rsid w:val="008D2356"/>
    <w:rsid w:val="008D3491"/>
    <w:rsid w:val="008D404D"/>
    <w:rsid w:val="008D4EBF"/>
    <w:rsid w:val="008D52D0"/>
    <w:rsid w:val="008D5878"/>
    <w:rsid w:val="008D66C2"/>
    <w:rsid w:val="008D6772"/>
    <w:rsid w:val="008D6A51"/>
    <w:rsid w:val="008D6B59"/>
    <w:rsid w:val="008E2D76"/>
    <w:rsid w:val="008E2FB1"/>
    <w:rsid w:val="008E3942"/>
    <w:rsid w:val="008E3FF7"/>
    <w:rsid w:val="008E5540"/>
    <w:rsid w:val="008E5D93"/>
    <w:rsid w:val="008E5EA6"/>
    <w:rsid w:val="008E60C1"/>
    <w:rsid w:val="008E6740"/>
    <w:rsid w:val="008E7412"/>
    <w:rsid w:val="008E7FE6"/>
    <w:rsid w:val="008F4588"/>
    <w:rsid w:val="008F6A4C"/>
    <w:rsid w:val="008F7789"/>
    <w:rsid w:val="009001BC"/>
    <w:rsid w:val="00901826"/>
    <w:rsid w:val="00902CA5"/>
    <w:rsid w:val="00903F23"/>
    <w:rsid w:val="009042BA"/>
    <w:rsid w:val="00904353"/>
    <w:rsid w:val="00905AB9"/>
    <w:rsid w:val="00905AC5"/>
    <w:rsid w:val="00905BC9"/>
    <w:rsid w:val="00905EF9"/>
    <w:rsid w:val="009065AE"/>
    <w:rsid w:val="009065F8"/>
    <w:rsid w:val="00910265"/>
    <w:rsid w:val="009111A8"/>
    <w:rsid w:val="009124B0"/>
    <w:rsid w:val="00912BC6"/>
    <w:rsid w:val="009130E0"/>
    <w:rsid w:val="009136E5"/>
    <w:rsid w:val="00914026"/>
    <w:rsid w:val="00914493"/>
    <w:rsid w:val="009155A4"/>
    <w:rsid w:val="00915E20"/>
    <w:rsid w:val="00915FF4"/>
    <w:rsid w:val="009213FD"/>
    <w:rsid w:val="00922013"/>
    <w:rsid w:val="0092217B"/>
    <w:rsid w:val="00922B08"/>
    <w:rsid w:val="00923394"/>
    <w:rsid w:val="009235A1"/>
    <w:rsid w:val="009245AF"/>
    <w:rsid w:val="00924F40"/>
    <w:rsid w:val="00926D69"/>
    <w:rsid w:val="00927F55"/>
    <w:rsid w:val="0093051A"/>
    <w:rsid w:val="009339A9"/>
    <w:rsid w:val="00933B89"/>
    <w:rsid w:val="009345E2"/>
    <w:rsid w:val="00935704"/>
    <w:rsid w:val="0093604B"/>
    <w:rsid w:val="00937163"/>
    <w:rsid w:val="0093722A"/>
    <w:rsid w:val="00941651"/>
    <w:rsid w:val="00941655"/>
    <w:rsid w:val="0094265C"/>
    <w:rsid w:val="0094297D"/>
    <w:rsid w:val="00942C4E"/>
    <w:rsid w:val="00942DA8"/>
    <w:rsid w:val="00943F64"/>
    <w:rsid w:val="009441EF"/>
    <w:rsid w:val="009442B9"/>
    <w:rsid w:val="00945CDE"/>
    <w:rsid w:val="00946C4C"/>
    <w:rsid w:val="009475B3"/>
    <w:rsid w:val="0094777C"/>
    <w:rsid w:val="00950258"/>
    <w:rsid w:val="0095067C"/>
    <w:rsid w:val="009512C4"/>
    <w:rsid w:val="009523CC"/>
    <w:rsid w:val="00952784"/>
    <w:rsid w:val="00952B4D"/>
    <w:rsid w:val="009533F7"/>
    <w:rsid w:val="00954546"/>
    <w:rsid w:val="00954ECA"/>
    <w:rsid w:val="009554F7"/>
    <w:rsid w:val="0095591D"/>
    <w:rsid w:val="0095598F"/>
    <w:rsid w:val="00956D7D"/>
    <w:rsid w:val="0095798E"/>
    <w:rsid w:val="0096126F"/>
    <w:rsid w:val="00961808"/>
    <w:rsid w:val="0096465E"/>
    <w:rsid w:val="00964765"/>
    <w:rsid w:val="0096536D"/>
    <w:rsid w:val="0096625B"/>
    <w:rsid w:val="00967F20"/>
    <w:rsid w:val="00970168"/>
    <w:rsid w:val="0097065C"/>
    <w:rsid w:val="00974BA7"/>
    <w:rsid w:val="00974C22"/>
    <w:rsid w:val="00975E71"/>
    <w:rsid w:val="00976108"/>
    <w:rsid w:val="009765A9"/>
    <w:rsid w:val="0097679D"/>
    <w:rsid w:val="00976FC2"/>
    <w:rsid w:val="00983BAB"/>
    <w:rsid w:val="00984B75"/>
    <w:rsid w:val="0098517B"/>
    <w:rsid w:val="0098589B"/>
    <w:rsid w:val="0098633D"/>
    <w:rsid w:val="0098677D"/>
    <w:rsid w:val="0099031A"/>
    <w:rsid w:val="00990C2E"/>
    <w:rsid w:val="009916BC"/>
    <w:rsid w:val="009918B9"/>
    <w:rsid w:val="0099433F"/>
    <w:rsid w:val="00994AF5"/>
    <w:rsid w:val="00997E01"/>
    <w:rsid w:val="009A020E"/>
    <w:rsid w:val="009A08FF"/>
    <w:rsid w:val="009A11DF"/>
    <w:rsid w:val="009A13A8"/>
    <w:rsid w:val="009A197E"/>
    <w:rsid w:val="009A1E12"/>
    <w:rsid w:val="009A2425"/>
    <w:rsid w:val="009A2846"/>
    <w:rsid w:val="009A4299"/>
    <w:rsid w:val="009A6EC5"/>
    <w:rsid w:val="009A7424"/>
    <w:rsid w:val="009B06CF"/>
    <w:rsid w:val="009B1B53"/>
    <w:rsid w:val="009B370F"/>
    <w:rsid w:val="009B47AA"/>
    <w:rsid w:val="009B5736"/>
    <w:rsid w:val="009B5FBC"/>
    <w:rsid w:val="009B601F"/>
    <w:rsid w:val="009B7D53"/>
    <w:rsid w:val="009C0242"/>
    <w:rsid w:val="009C0C09"/>
    <w:rsid w:val="009C0D03"/>
    <w:rsid w:val="009C0E0D"/>
    <w:rsid w:val="009C2F52"/>
    <w:rsid w:val="009C53A4"/>
    <w:rsid w:val="009C7520"/>
    <w:rsid w:val="009D07FF"/>
    <w:rsid w:val="009D1AFB"/>
    <w:rsid w:val="009D1E8E"/>
    <w:rsid w:val="009D311B"/>
    <w:rsid w:val="009D3566"/>
    <w:rsid w:val="009D3A6F"/>
    <w:rsid w:val="009D4226"/>
    <w:rsid w:val="009D4A07"/>
    <w:rsid w:val="009D5298"/>
    <w:rsid w:val="009D55C7"/>
    <w:rsid w:val="009D5CA1"/>
    <w:rsid w:val="009D5DF1"/>
    <w:rsid w:val="009E0B05"/>
    <w:rsid w:val="009E0D4F"/>
    <w:rsid w:val="009E0F27"/>
    <w:rsid w:val="009E1364"/>
    <w:rsid w:val="009E1E81"/>
    <w:rsid w:val="009E3683"/>
    <w:rsid w:val="009E3B64"/>
    <w:rsid w:val="009E6771"/>
    <w:rsid w:val="009E6AC9"/>
    <w:rsid w:val="009E6CD9"/>
    <w:rsid w:val="009E725C"/>
    <w:rsid w:val="009F0089"/>
    <w:rsid w:val="009F1028"/>
    <w:rsid w:val="009F123B"/>
    <w:rsid w:val="009F1D2B"/>
    <w:rsid w:val="009F2332"/>
    <w:rsid w:val="009F3103"/>
    <w:rsid w:val="009F4492"/>
    <w:rsid w:val="009F5210"/>
    <w:rsid w:val="009F54CF"/>
    <w:rsid w:val="009F58F7"/>
    <w:rsid w:val="009F6150"/>
    <w:rsid w:val="009F6D5C"/>
    <w:rsid w:val="009F7732"/>
    <w:rsid w:val="009F7D82"/>
    <w:rsid w:val="009F7D88"/>
    <w:rsid w:val="00A00395"/>
    <w:rsid w:val="00A00B9F"/>
    <w:rsid w:val="00A024C9"/>
    <w:rsid w:val="00A03772"/>
    <w:rsid w:val="00A03774"/>
    <w:rsid w:val="00A03B91"/>
    <w:rsid w:val="00A0428E"/>
    <w:rsid w:val="00A04499"/>
    <w:rsid w:val="00A04D78"/>
    <w:rsid w:val="00A05D89"/>
    <w:rsid w:val="00A05DBF"/>
    <w:rsid w:val="00A0645D"/>
    <w:rsid w:val="00A071D2"/>
    <w:rsid w:val="00A072AA"/>
    <w:rsid w:val="00A07E52"/>
    <w:rsid w:val="00A107AD"/>
    <w:rsid w:val="00A10D52"/>
    <w:rsid w:val="00A11021"/>
    <w:rsid w:val="00A11165"/>
    <w:rsid w:val="00A1135D"/>
    <w:rsid w:val="00A1277D"/>
    <w:rsid w:val="00A14FA3"/>
    <w:rsid w:val="00A151D9"/>
    <w:rsid w:val="00A15685"/>
    <w:rsid w:val="00A16998"/>
    <w:rsid w:val="00A16F6B"/>
    <w:rsid w:val="00A17CAB"/>
    <w:rsid w:val="00A2038C"/>
    <w:rsid w:val="00A20C9D"/>
    <w:rsid w:val="00A21844"/>
    <w:rsid w:val="00A2267D"/>
    <w:rsid w:val="00A22D60"/>
    <w:rsid w:val="00A22E1A"/>
    <w:rsid w:val="00A23014"/>
    <w:rsid w:val="00A237A0"/>
    <w:rsid w:val="00A23886"/>
    <w:rsid w:val="00A2390B"/>
    <w:rsid w:val="00A24CFA"/>
    <w:rsid w:val="00A254ED"/>
    <w:rsid w:val="00A25A77"/>
    <w:rsid w:val="00A25B2A"/>
    <w:rsid w:val="00A26E29"/>
    <w:rsid w:val="00A307FD"/>
    <w:rsid w:val="00A31ADD"/>
    <w:rsid w:val="00A347C6"/>
    <w:rsid w:val="00A35C1F"/>
    <w:rsid w:val="00A35FCE"/>
    <w:rsid w:val="00A40B6D"/>
    <w:rsid w:val="00A41B1E"/>
    <w:rsid w:val="00A42839"/>
    <w:rsid w:val="00A430F6"/>
    <w:rsid w:val="00A43A2E"/>
    <w:rsid w:val="00A44E09"/>
    <w:rsid w:val="00A452AD"/>
    <w:rsid w:val="00A45879"/>
    <w:rsid w:val="00A46CFE"/>
    <w:rsid w:val="00A4785B"/>
    <w:rsid w:val="00A478A3"/>
    <w:rsid w:val="00A52364"/>
    <w:rsid w:val="00A528DF"/>
    <w:rsid w:val="00A5414B"/>
    <w:rsid w:val="00A54180"/>
    <w:rsid w:val="00A54705"/>
    <w:rsid w:val="00A5621A"/>
    <w:rsid w:val="00A574EB"/>
    <w:rsid w:val="00A61CA7"/>
    <w:rsid w:val="00A6253E"/>
    <w:rsid w:val="00A62DFA"/>
    <w:rsid w:val="00A6321D"/>
    <w:rsid w:val="00A63DAB"/>
    <w:rsid w:val="00A642D3"/>
    <w:rsid w:val="00A64D19"/>
    <w:rsid w:val="00A657AC"/>
    <w:rsid w:val="00A65BA6"/>
    <w:rsid w:val="00A66918"/>
    <w:rsid w:val="00A676F4"/>
    <w:rsid w:val="00A7050D"/>
    <w:rsid w:val="00A714ED"/>
    <w:rsid w:val="00A71C27"/>
    <w:rsid w:val="00A7348E"/>
    <w:rsid w:val="00A74165"/>
    <w:rsid w:val="00A74786"/>
    <w:rsid w:val="00A756BE"/>
    <w:rsid w:val="00A77001"/>
    <w:rsid w:val="00A80EAB"/>
    <w:rsid w:val="00A830EF"/>
    <w:rsid w:val="00A8329F"/>
    <w:rsid w:val="00A8370F"/>
    <w:rsid w:val="00A83DC6"/>
    <w:rsid w:val="00A84D7D"/>
    <w:rsid w:val="00A853E3"/>
    <w:rsid w:val="00A86204"/>
    <w:rsid w:val="00A86907"/>
    <w:rsid w:val="00A871F3"/>
    <w:rsid w:val="00A9000B"/>
    <w:rsid w:val="00A90185"/>
    <w:rsid w:val="00A91C2E"/>
    <w:rsid w:val="00A91D52"/>
    <w:rsid w:val="00A92F10"/>
    <w:rsid w:val="00A9576D"/>
    <w:rsid w:val="00A96D39"/>
    <w:rsid w:val="00A96F45"/>
    <w:rsid w:val="00AA0408"/>
    <w:rsid w:val="00AA09CD"/>
    <w:rsid w:val="00AA127A"/>
    <w:rsid w:val="00AA12C3"/>
    <w:rsid w:val="00AA1C8C"/>
    <w:rsid w:val="00AA1F25"/>
    <w:rsid w:val="00AA3992"/>
    <w:rsid w:val="00AA491E"/>
    <w:rsid w:val="00AA5820"/>
    <w:rsid w:val="00AA5928"/>
    <w:rsid w:val="00AB0C65"/>
    <w:rsid w:val="00AB1139"/>
    <w:rsid w:val="00AB160C"/>
    <w:rsid w:val="00AB17FC"/>
    <w:rsid w:val="00AB18F9"/>
    <w:rsid w:val="00AB196E"/>
    <w:rsid w:val="00AB2351"/>
    <w:rsid w:val="00AB26AA"/>
    <w:rsid w:val="00AB2B32"/>
    <w:rsid w:val="00AB2D13"/>
    <w:rsid w:val="00AB6631"/>
    <w:rsid w:val="00AB69BF"/>
    <w:rsid w:val="00AB7E03"/>
    <w:rsid w:val="00AC0189"/>
    <w:rsid w:val="00AC0BE6"/>
    <w:rsid w:val="00AC1DE2"/>
    <w:rsid w:val="00AC1E74"/>
    <w:rsid w:val="00AC1F1B"/>
    <w:rsid w:val="00AC275B"/>
    <w:rsid w:val="00AC328B"/>
    <w:rsid w:val="00AC3405"/>
    <w:rsid w:val="00AC50A6"/>
    <w:rsid w:val="00AC60B2"/>
    <w:rsid w:val="00AC7528"/>
    <w:rsid w:val="00AD0206"/>
    <w:rsid w:val="00AD0419"/>
    <w:rsid w:val="00AD181B"/>
    <w:rsid w:val="00AD2E2A"/>
    <w:rsid w:val="00AD5EED"/>
    <w:rsid w:val="00AD6402"/>
    <w:rsid w:val="00AD67C2"/>
    <w:rsid w:val="00AD6A7D"/>
    <w:rsid w:val="00AD6B50"/>
    <w:rsid w:val="00AD6D29"/>
    <w:rsid w:val="00AE0332"/>
    <w:rsid w:val="00AE0C06"/>
    <w:rsid w:val="00AE21D3"/>
    <w:rsid w:val="00AE490A"/>
    <w:rsid w:val="00AE4EC8"/>
    <w:rsid w:val="00AE4F49"/>
    <w:rsid w:val="00AE5560"/>
    <w:rsid w:val="00AE60A6"/>
    <w:rsid w:val="00AE6109"/>
    <w:rsid w:val="00AE7BDC"/>
    <w:rsid w:val="00AF0A11"/>
    <w:rsid w:val="00AF2194"/>
    <w:rsid w:val="00AF2762"/>
    <w:rsid w:val="00AF3058"/>
    <w:rsid w:val="00AF4F8D"/>
    <w:rsid w:val="00AF5096"/>
    <w:rsid w:val="00AF5470"/>
    <w:rsid w:val="00AF5E85"/>
    <w:rsid w:val="00B00917"/>
    <w:rsid w:val="00B00AA2"/>
    <w:rsid w:val="00B00E5E"/>
    <w:rsid w:val="00B00FBD"/>
    <w:rsid w:val="00B0168D"/>
    <w:rsid w:val="00B01796"/>
    <w:rsid w:val="00B035D2"/>
    <w:rsid w:val="00B04494"/>
    <w:rsid w:val="00B067BC"/>
    <w:rsid w:val="00B07314"/>
    <w:rsid w:val="00B073CC"/>
    <w:rsid w:val="00B0755F"/>
    <w:rsid w:val="00B1016F"/>
    <w:rsid w:val="00B1088F"/>
    <w:rsid w:val="00B1175B"/>
    <w:rsid w:val="00B11EE5"/>
    <w:rsid w:val="00B131DE"/>
    <w:rsid w:val="00B143C1"/>
    <w:rsid w:val="00B1448F"/>
    <w:rsid w:val="00B15E58"/>
    <w:rsid w:val="00B15F1B"/>
    <w:rsid w:val="00B16752"/>
    <w:rsid w:val="00B16D55"/>
    <w:rsid w:val="00B17209"/>
    <w:rsid w:val="00B17781"/>
    <w:rsid w:val="00B20754"/>
    <w:rsid w:val="00B21BF4"/>
    <w:rsid w:val="00B220A3"/>
    <w:rsid w:val="00B223CD"/>
    <w:rsid w:val="00B22C89"/>
    <w:rsid w:val="00B23428"/>
    <w:rsid w:val="00B244CF"/>
    <w:rsid w:val="00B26E4F"/>
    <w:rsid w:val="00B31310"/>
    <w:rsid w:val="00B32DB6"/>
    <w:rsid w:val="00B34F30"/>
    <w:rsid w:val="00B34F8F"/>
    <w:rsid w:val="00B35A08"/>
    <w:rsid w:val="00B35FFD"/>
    <w:rsid w:val="00B36857"/>
    <w:rsid w:val="00B371E4"/>
    <w:rsid w:val="00B37DC2"/>
    <w:rsid w:val="00B4011D"/>
    <w:rsid w:val="00B41340"/>
    <w:rsid w:val="00B42293"/>
    <w:rsid w:val="00B427DC"/>
    <w:rsid w:val="00B451B6"/>
    <w:rsid w:val="00B45BF6"/>
    <w:rsid w:val="00B45EB3"/>
    <w:rsid w:val="00B46371"/>
    <w:rsid w:val="00B47625"/>
    <w:rsid w:val="00B47E4D"/>
    <w:rsid w:val="00B501AF"/>
    <w:rsid w:val="00B50B4F"/>
    <w:rsid w:val="00B50B55"/>
    <w:rsid w:val="00B51CF8"/>
    <w:rsid w:val="00B52382"/>
    <w:rsid w:val="00B52F7E"/>
    <w:rsid w:val="00B53451"/>
    <w:rsid w:val="00B555F4"/>
    <w:rsid w:val="00B55629"/>
    <w:rsid w:val="00B55649"/>
    <w:rsid w:val="00B558DD"/>
    <w:rsid w:val="00B56029"/>
    <w:rsid w:val="00B5712E"/>
    <w:rsid w:val="00B57FE8"/>
    <w:rsid w:val="00B613F5"/>
    <w:rsid w:val="00B61872"/>
    <w:rsid w:val="00B61B71"/>
    <w:rsid w:val="00B61BD2"/>
    <w:rsid w:val="00B6235A"/>
    <w:rsid w:val="00B62D4B"/>
    <w:rsid w:val="00B62F2C"/>
    <w:rsid w:val="00B651FD"/>
    <w:rsid w:val="00B66B87"/>
    <w:rsid w:val="00B66F64"/>
    <w:rsid w:val="00B67365"/>
    <w:rsid w:val="00B70314"/>
    <w:rsid w:val="00B7289B"/>
    <w:rsid w:val="00B7359D"/>
    <w:rsid w:val="00B738F6"/>
    <w:rsid w:val="00B73F94"/>
    <w:rsid w:val="00B74DE6"/>
    <w:rsid w:val="00B74E00"/>
    <w:rsid w:val="00B752F4"/>
    <w:rsid w:val="00B75666"/>
    <w:rsid w:val="00B75D7B"/>
    <w:rsid w:val="00B75FBF"/>
    <w:rsid w:val="00B80AFF"/>
    <w:rsid w:val="00B82C8A"/>
    <w:rsid w:val="00B8300F"/>
    <w:rsid w:val="00B833CE"/>
    <w:rsid w:val="00B838A3"/>
    <w:rsid w:val="00B83AD6"/>
    <w:rsid w:val="00B83FB0"/>
    <w:rsid w:val="00B84489"/>
    <w:rsid w:val="00B8491D"/>
    <w:rsid w:val="00B85474"/>
    <w:rsid w:val="00B90974"/>
    <w:rsid w:val="00B9143F"/>
    <w:rsid w:val="00B91B11"/>
    <w:rsid w:val="00B91D45"/>
    <w:rsid w:val="00B92634"/>
    <w:rsid w:val="00B92F37"/>
    <w:rsid w:val="00B9324D"/>
    <w:rsid w:val="00B933A2"/>
    <w:rsid w:val="00B94157"/>
    <w:rsid w:val="00B94DFD"/>
    <w:rsid w:val="00B953DA"/>
    <w:rsid w:val="00B95659"/>
    <w:rsid w:val="00B9674A"/>
    <w:rsid w:val="00B96874"/>
    <w:rsid w:val="00B97DC1"/>
    <w:rsid w:val="00BA069D"/>
    <w:rsid w:val="00BA092D"/>
    <w:rsid w:val="00BA2183"/>
    <w:rsid w:val="00BA3D82"/>
    <w:rsid w:val="00BA455A"/>
    <w:rsid w:val="00BA5075"/>
    <w:rsid w:val="00BA5EA2"/>
    <w:rsid w:val="00BB1BAE"/>
    <w:rsid w:val="00BB1CE2"/>
    <w:rsid w:val="00BB295A"/>
    <w:rsid w:val="00BB633E"/>
    <w:rsid w:val="00BB6DF6"/>
    <w:rsid w:val="00BC01AC"/>
    <w:rsid w:val="00BC05B3"/>
    <w:rsid w:val="00BC1C56"/>
    <w:rsid w:val="00BC1D7C"/>
    <w:rsid w:val="00BC4C9B"/>
    <w:rsid w:val="00BC4D4A"/>
    <w:rsid w:val="00BC4FFA"/>
    <w:rsid w:val="00BC63AD"/>
    <w:rsid w:val="00BD02F8"/>
    <w:rsid w:val="00BD04A3"/>
    <w:rsid w:val="00BD056A"/>
    <w:rsid w:val="00BD12A9"/>
    <w:rsid w:val="00BD1996"/>
    <w:rsid w:val="00BD1C70"/>
    <w:rsid w:val="00BD1DF3"/>
    <w:rsid w:val="00BD3799"/>
    <w:rsid w:val="00BD42DF"/>
    <w:rsid w:val="00BD46D0"/>
    <w:rsid w:val="00BD56F8"/>
    <w:rsid w:val="00BD7843"/>
    <w:rsid w:val="00BE0021"/>
    <w:rsid w:val="00BE15CE"/>
    <w:rsid w:val="00BE15D1"/>
    <w:rsid w:val="00BE2C32"/>
    <w:rsid w:val="00BE2EFA"/>
    <w:rsid w:val="00BE3208"/>
    <w:rsid w:val="00BE41B6"/>
    <w:rsid w:val="00BE4475"/>
    <w:rsid w:val="00BE461F"/>
    <w:rsid w:val="00BE4807"/>
    <w:rsid w:val="00BE5A88"/>
    <w:rsid w:val="00BE5AC1"/>
    <w:rsid w:val="00BE6609"/>
    <w:rsid w:val="00BE6D7C"/>
    <w:rsid w:val="00BE7249"/>
    <w:rsid w:val="00BE75B5"/>
    <w:rsid w:val="00BF0B63"/>
    <w:rsid w:val="00BF2574"/>
    <w:rsid w:val="00BF3FA8"/>
    <w:rsid w:val="00BF4FB5"/>
    <w:rsid w:val="00BF68C7"/>
    <w:rsid w:val="00C02724"/>
    <w:rsid w:val="00C02DA7"/>
    <w:rsid w:val="00C05656"/>
    <w:rsid w:val="00C05974"/>
    <w:rsid w:val="00C06BC7"/>
    <w:rsid w:val="00C07CBB"/>
    <w:rsid w:val="00C11522"/>
    <w:rsid w:val="00C11AC1"/>
    <w:rsid w:val="00C143F2"/>
    <w:rsid w:val="00C153D2"/>
    <w:rsid w:val="00C153F9"/>
    <w:rsid w:val="00C17E38"/>
    <w:rsid w:val="00C20F86"/>
    <w:rsid w:val="00C21D59"/>
    <w:rsid w:val="00C21E36"/>
    <w:rsid w:val="00C224C4"/>
    <w:rsid w:val="00C22B80"/>
    <w:rsid w:val="00C2449A"/>
    <w:rsid w:val="00C24E3E"/>
    <w:rsid w:val="00C2620D"/>
    <w:rsid w:val="00C26706"/>
    <w:rsid w:val="00C27EAC"/>
    <w:rsid w:val="00C317BB"/>
    <w:rsid w:val="00C31876"/>
    <w:rsid w:val="00C31C5B"/>
    <w:rsid w:val="00C33770"/>
    <w:rsid w:val="00C34ADA"/>
    <w:rsid w:val="00C34CE5"/>
    <w:rsid w:val="00C367CE"/>
    <w:rsid w:val="00C36E75"/>
    <w:rsid w:val="00C37ABF"/>
    <w:rsid w:val="00C40688"/>
    <w:rsid w:val="00C408B1"/>
    <w:rsid w:val="00C40B94"/>
    <w:rsid w:val="00C41099"/>
    <w:rsid w:val="00C411E2"/>
    <w:rsid w:val="00C41671"/>
    <w:rsid w:val="00C424CC"/>
    <w:rsid w:val="00C4368B"/>
    <w:rsid w:val="00C43D56"/>
    <w:rsid w:val="00C44194"/>
    <w:rsid w:val="00C445B7"/>
    <w:rsid w:val="00C45825"/>
    <w:rsid w:val="00C50251"/>
    <w:rsid w:val="00C52613"/>
    <w:rsid w:val="00C5270E"/>
    <w:rsid w:val="00C53FE5"/>
    <w:rsid w:val="00C54868"/>
    <w:rsid w:val="00C56454"/>
    <w:rsid w:val="00C56ED0"/>
    <w:rsid w:val="00C56F28"/>
    <w:rsid w:val="00C57B49"/>
    <w:rsid w:val="00C60129"/>
    <w:rsid w:val="00C60527"/>
    <w:rsid w:val="00C6082F"/>
    <w:rsid w:val="00C61337"/>
    <w:rsid w:val="00C61830"/>
    <w:rsid w:val="00C637A5"/>
    <w:rsid w:val="00C64270"/>
    <w:rsid w:val="00C661B0"/>
    <w:rsid w:val="00C66F65"/>
    <w:rsid w:val="00C6799C"/>
    <w:rsid w:val="00C702CF"/>
    <w:rsid w:val="00C716CB"/>
    <w:rsid w:val="00C7196D"/>
    <w:rsid w:val="00C71A47"/>
    <w:rsid w:val="00C72A3E"/>
    <w:rsid w:val="00C72CF3"/>
    <w:rsid w:val="00C7435F"/>
    <w:rsid w:val="00C7477D"/>
    <w:rsid w:val="00C7542F"/>
    <w:rsid w:val="00C765D1"/>
    <w:rsid w:val="00C76B2C"/>
    <w:rsid w:val="00C77207"/>
    <w:rsid w:val="00C7737F"/>
    <w:rsid w:val="00C775BD"/>
    <w:rsid w:val="00C80811"/>
    <w:rsid w:val="00C8342D"/>
    <w:rsid w:val="00C845A1"/>
    <w:rsid w:val="00C84A49"/>
    <w:rsid w:val="00C84ED4"/>
    <w:rsid w:val="00C84F05"/>
    <w:rsid w:val="00C85297"/>
    <w:rsid w:val="00C85BE6"/>
    <w:rsid w:val="00C86B95"/>
    <w:rsid w:val="00C91236"/>
    <w:rsid w:val="00C91AE7"/>
    <w:rsid w:val="00CA0CD7"/>
    <w:rsid w:val="00CA0FAE"/>
    <w:rsid w:val="00CA1D41"/>
    <w:rsid w:val="00CA253D"/>
    <w:rsid w:val="00CA3DDE"/>
    <w:rsid w:val="00CA44C5"/>
    <w:rsid w:val="00CA4791"/>
    <w:rsid w:val="00CA4F75"/>
    <w:rsid w:val="00CA6A4D"/>
    <w:rsid w:val="00CA7705"/>
    <w:rsid w:val="00CB04F4"/>
    <w:rsid w:val="00CB0A14"/>
    <w:rsid w:val="00CB109D"/>
    <w:rsid w:val="00CB1D14"/>
    <w:rsid w:val="00CB1F0A"/>
    <w:rsid w:val="00CB3B15"/>
    <w:rsid w:val="00CB5270"/>
    <w:rsid w:val="00CB6047"/>
    <w:rsid w:val="00CB7467"/>
    <w:rsid w:val="00CC1456"/>
    <w:rsid w:val="00CC16A0"/>
    <w:rsid w:val="00CC24A6"/>
    <w:rsid w:val="00CC35E0"/>
    <w:rsid w:val="00CC3F01"/>
    <w:rsid w:val="00CC4037"/>
    <w:rsid w:val="00CC408D"/>
    <w:rsid w:val="00CC4183"/>
    <w:rsid w:val="00CC467D"/>
    <w:rsid w:val="00CC4832"/>
    <w:rsid w:val="00CC5274"/>
    <w:rsid w:val="00CC5657"/>
    <w:rsid w:val="00CC7681"/>
    <w:rsid w:val="00CC78F6"/>
    <w:rsid w:val="00CD07C9"/>
    <w:rsid w:val="00CD1B61"/>
    <w:rsid w:val="00CD3554"/>
    <w:rsid w:val="00CD4778"/>
    <w:rsid w:val="00CD5914"/>
    <w:rsid w:val="00CE08C3"/>
    <w:rsid w:val="00CE1098"/>
    <w:rsid w:val="00CE47A2"/>
    <w:rsid w:val="00CE5138"/>
    <w:rsid w:val="00CE675E"/>
    <w:rsid w:val="00CE6EBA"/>
    <w:rsid w:val="00CF0372"/>
    <w:rsid w:val="00CF2062"/>
    <w:rsid w:val="00CF2A7C"/>
    <w:rsid w:val="00CF6172"/>
    <w:rsid w:val="00CF6407"/>
    <w:rsid w:val="00CF6B31"/>
    <w:rsid w:val="00CF6E8A"/>
    <w:rsid w:val="00D00C4E"/>
    <w:rsid w:val="00D0110F"/>
    <w:rsid w:val="00D0179B"/>
    <w:rsid w:val="00D019F3"/>
    <w:rsid w:val="00D024E5"/>
    <w:rsid w:val="00D02B7E"/>
    <w:rsid w:val="00D02B81"/>
    <w:rsid w:val="00D03948"/>
    <w:rsid w:val="00D05901"/>
    <w:rsid w:val="00D05E75"/>
    <w:rsid w:val="00D07290"/>
    <w:rsid w:val="00D073F2"/>
    <w:rsid w:val="00D10EF3"/>
    <w:rsid w:val="00D11918"/>
    <w:rsid w:val="00D123D7"/>
    <w:rsid w:val="00D12E0B"/>
    <w:rsid w:val="00D1355E"/>
    <w:rsid w:val="00D14291"/>
    <w:rsid w:val="00D149C5"/>
    <w:rsid w:val="00D15B95"/>
    <w:rsid w:val="00D15C53"/>
    <w:rsid w:val="00D17032"/>
    <w:rsid w:val="00D17F3B"/>
    <w:rsid w:val="00D21C78"/>
    <w:rsid w:val="00D220FE"/>
    <w:rsid w:val="00D22523"/>
    <w:rsid w:val="00D22D63"/>
    <w:rsid w:val="00D2363D"/>
    <w:rsid w:val="00D23FCA"/>
    <w:rsid w:val="00D271E2"/>
    <w:rsid w:val="00D31087"/>
    <w:rsid w:val="00D312B6"/>
    <w:rsid w:val="00D33AB3"/>
    <w:rsid w:val="00D363B3"/>
    <w:rsid w:val="00D36A9B"/>
    <w:rsid w:val="00D37018"/>
    <w:rsid w:val="00D411E2"/>
    <w:rsid w:val="00D41892"/>
    <w:rsid w:val="00D428EF"/>
    <w:rsid w:val="00D42F87"/>
    <w:rsid w:val="00D431A9"/>
    <w:rsid w:val="00D43AA9"/>
    <w:rsid w:val="00D43BB8"/>
    <w:rsid w:val="00D44186"/>
    <w:rsid w:val="00D44608"/>
    <w:rsid w:val="00D452AF"/>
    <w:rsid w:val="00D467B8"/>
    <w:rsid w:val="00D47582"/>
    <w:rsid w:val="00D47751"/>
    <w:rsid w:val="00D47E60"/>
    <w:rsid w:val="00D5003E"/>
    <w:rsid w:val="00D5086A"/>
    <w:rsid w:val="00D50A65"/>
    <w:rsid w:val="00D51405"/>
    <w:rsid w:val="00D519DC"/>
    <w:rsid w:val="00D52024"/>
    <w:rsid w:val="00D5264A"/>
    <w:rsid w:val="00D5366E"/>
    <w:rsid w:val="00D5538F"/>
    <w:rsid w:val="00D57D2C"/>
    <w:rsid w:val="00D60257"/>
    <w:rsid w:val="00D60372"/>
    <w:rsid w:val="00D621D1"/>
    <w:rsid w:val="00D62984"/>
    <w:rsid w:val="00D6383D"/>
    <w:rsid w:val="00D63BD1"/>
    <w:rsid w:val="00D6572D"/>
    <w:rsid w:val="00D65CD4"/>
    <w:rsid w:val="00D67371"/>
    <w:rsid w:val="00D67D5A"/>
    <w:rsid w:val="00D67F68"/>
    <w:rsid w:val="00D72038"/>
    <w:rsid w:val="00D7320A"/>
    <w:rsid w:val="00D747A6"/>
    <w:rsid w:val="00D747D7"/>
    <w:rsid w:val="00D74BFE"/>
    <w:rsid w:val="00D74C35"/>
    <w:rsid w:val="00D75F00"/>
    <w:rsid w:val="00D76C88"/>
    <w:rsid w:val="00D770C9"/>
    <w:rsid w:val="00D8039B"/>
    <w:rsid w:val="00D809F4"/>
    <w:rsid w:val="00D80AC5"/>
    <w:rsid w:val="00D81262"/>
    <w:rsid w:val="00D82609"/>
    <w:rsid w:val="00D82F0D"/>
    <w:rsid w:val="00D8472B"/>
    <w:rsid w:val="00D857DC"/>
    <w:rsid w:val="00D85EC6"/>
    <w:rsid w:val="00D85F59"/>
    <w:rsid w:val="00D86028"/>
    <w:rsid w:val="00D8670D"/>
    <w:rsid w:val="00D87212"/>
    <w:rsid w:val="00D87267"/>
    <w:rsid w:val="00D93AF1"/>
    <w:rsid w:val="00D94A3E"/>
    <w:rsid w:val="00D95172"/>
    <w:rsid w:val="00D96F28"/>
    <w:rsid w:val="00D97F93"/>
    <w:rsid w:val="00DA0B19"/>
    <w:rsid w:val="00DA0F28"/>
    <w:rsid w:val="00DA1C1D"/>
    <w:rsid w:val="00DA27A8"/>
    <w:rsid w:val="00DA296E"/>
    <w:rsid w:val="00DA2B7E"/>
    <w:rsid w:val="00DA31F6"/>
    <w:rsid w:val="00DA6137"/>
    <w:rsid w:val="00DA6387"/>
    <w:rsid w:val="00DA7156"/>
    <w:rsid w:val="00DA7434"/>
    <w:rsid w:val="00DA7FF8"/>
    <w:rsid w:val="00DB0445"/>
    <w:rsid w:val="00DB1C32"/>
    <w:rsid w:val="00DB48C4"/>
    <w:rsid w:val="00DB4CCA"/>
    <w:rsid w:val="00DB505A"/>
    <w:rsid w:val="00DB58DF"/>
    <w:rsid w:val="00DB7CEA"/>
    <w:rsid w:val="00DC0244"/>
    <w:rsid w:val="00DC0F6F"/>
    <w:rsid w:val="00DC1139"/>
    <w:rsid w:val="00DC1471"/>
    <w:rsid w:val="00DC22AC"/>
    <w:rsid w:val="00DC34AC"/>
    <w:rsid w:val="00DC3862"/>
    <w:rsid w:val="00DC5BFC"/>
    <w:rsid w:val="00DC7F54"/>
    <w:rsid w:val="00DD0FD9"/>
    <w:rsid w:val="00DD13ED"/>
    <w:rsid w:val="00DD20F4"/>
    <w:rsid w:val="00DD2989"/>
    <w:rsid w:val="00DD4C10"/>
    <w:rsid w:val="00DD51AD"/>
    <w:rsid w:val="00DD568B"/>
    <w:rsid w:val="00DD7C31"/>
    <w:rsid w:val="00DD7D77"/>
    <w:rsid w:val="00DE1E05"/>
    <w:rsid w:val="00DE2690"/>
    <w:rsid w:val="00DE2EA9"/>
    <w:rsid w:val="00DE3650"/>
    <w:rsid w:val="00DE3DD2"/>
    <w:rsid w:val="00DE428A"/>
    <w:rsid w:val="00DE4ACB"/>
    <w:rsid w:val="00DE5337"/>
    <w:rsid w:val="00DE6062"/>
    <w:rsid w:val="00DE72F6"/>
    <w:rsid w:val="00DF01FB"/>
    <w:rsid w:val="00DF09E5"/>
    <w:rsid w:val="00DF1901"/>
    <w:rsid w:val="00DF2301"/>
    <w:rsid w:val="00DF29B0"/>
    <w:rsid w:val="00DF346E"/>
    <w:rsid w:val="00DF3707"/>
    <w:rsid w:val="00DF4C37"/>
    <w:rsid w:val="00DF4F0B"/>
    <w:rsid w:val="00DF55E4"/>
    <w:rsid w:val="00DF5A50"/>
    <w:rsid w:val="00DF5D5A"/>
    <w:rsid w:val="00DF6246"/>
    <w:rsid w:val="00DF7F6A"/>
    <w:rsid w:val="00DF7FAD"/>
    <w:rsid w:val="00E001FF"/>
    <w:rsid w:val="00E01B66"/>
    <w:rsid w:val="00E01E5D"/>
    <w:rsid w:val="00E02080"/>
    <w:rsid w:val="00E021F0"/>
    <w:rsid w:val="00E02749"/>
    <w:rsid w:val="00E02ACF"/>
    <w:rsid w:val="00E02FB7"/>
    <w:rsid w:val="00E03695"/>
    <w:rsid w:val="00E046F8"/>
    <w:rsid w:val="00E04C0C"/>
    <w:rsid w:val="00E060EA"/>
    <w:rsid w:val="00E06A4E"/>
    <w:rsid w:val="00E070A2"/>
    <w:rsid w:val="00E0749A"/>
    <w:rsid w:val="00E0779C"/>
    <w:rsid w:val="00E105BB"/>
    <w:rsid w:val="00E10F17"/>
    <w:rsid w:val="00E11042"/>
    <w:rsid w:val="00E1228B"/>
    <w:rsid w:val="00E129A1"/>
    <w:rsid w:val="00E12BB2"/>
    <w:rsid w:val="00E130A3"/>
    <w:rsid w:val="00E1368A"/>
    <w:rsid w:val="00E14893"/>
    <w:rsid w:val="00E153E0"/>
    <w:rsid w:val="00E1549B"/>
    <w:rsid w:val="00E15F45"/>
    <w:rsid w:val="00E16953"/>
    <w:rsid w:val="00E177DB"/>
    <w:rsid w:val="00E20829"/>
    <w:rsid w:val="00E2157C"/>
    <w:rsid w:val="00E226DD"/>
    <w:rsid w:val="00E22B1D"/>
    <w:rsid w:val="00E22B34"/>
    <w:rsid w:val="00E24A28"/>
    <w:rsid w:val="00E267EB"/>
    <w:rsid w:val="00E26D4D"/>
    <w:rsid w:val="00E30B53"/>
    <w:rsid w:val="00E31874"/>
    <w:rsid w:val="00E353DC"/>
    <w:rsid w:val="00E356BF"/>
    <w:rsid w:val="00E35B53"/>
    <w:rsid w:val="00E37F4F"/>
    <w:rsid w:val="00E404FA"/>
    <w:rsid w:val="00E40514"/>
    <w:rsid w:val="00E40730"/>
    <w:rsid w:val="00E41470"/>
    <w:rsid w:val="00E41968"/>
    <w:rsid w:val="00E420A1"/>
    <w:rsid w:val="00E421AC"/>
    <w:rsid w:val="00E42769"/>
    <w:rsid w:val="00E428FB"/>
    <w:rsid w:val="00E4324C"/>
    <w:rsid w:val="00E438C7"/>
    <w:rsid w:val="00E45E7C"/>
    <w:rsid w:val="00E46065"/>
    <w:rsid w:val="00E46251"/>
    <w:rsid w:val="00E46581"/>
    <w:rsid w:val="00E46CB2"/>
    <w:rsid w:val="00E47429"/>
    <w:rsid w:val="00E4782F"/>
    <w:rsid w:val="00E51508"/>
    <w:rsid w:val="00E51BC4"/>
    <w:rsid w:val="00E51FC7"/>
    <w:rsid w:val="00E528C1"/>
    <w:rsid w:val="00E53570"/>
    <w:rsid w:val="00E53705"/>
    <w:rsid w:val="00E548C1"/>
    <w:rsid w:val="00E54AB3"/>
    <w:rsid w:val="00E56123"/>
    <w:rsid w:val="00E57409"/>
    <w:rsid w:val="00E57812"/>
    <w:rsid w:val="00E61349"/>
    <w:rsid w:val="00E61B1B"/>
    <w:rsid w:val="00E61D7B"/>
    <w:rsid w:val="00E651FC"/>
    <w:rsid w:val="00E65941"/>
    <w:rsid w:val="00E66C06"/>
    <w:rsid w:val="00E67674"/>
    <w:rsid w:val="00E67959"/>
    <w:rsid w:val="00E70D4F"/>
    <w:rsid w:val="00E717CC"/>
    <w:rsid w:val="00E7218E"/>
    <w:rsid w:val="00E72E63"/>
    <w:rsid w:val="00E732D2"/>
    <w:rsid w:val="00E74DE0"/>
    <w:rsid w:val="00E75E14"/>
    <w:rsid w:val="00E771B1"/>
    <w:rsid w:val="00E776DB"/>
    <w:rsid w:val="00E7791D"/>
    <w:rsid w:val="00E77C48"/>
    <w:rsid w:val="00E81234"/>
    <w:rsid w:val="00E82CA2"/>
    <w:rsid w:val="00E82DA9"/>
    <w:rsid w:val="00E83701"/>
    <w:rsid w:val="00E84F4A"/>
    <w:rsid w:val="00E858C7"/>
    <w:rsid w:val="00E86C85"/>
    <w:rsid w:val="00E87931"/>
    <w:rsid w:val="00E90358"/>
    <w:rsid w:val="00E90473"/>
    <w:rsid w:val="00E9073C"/>
    <w:rsid w:val="00E90BB8"/>
    <w:rsid w:val="00E911F3"/>
    <w:rsid w:val="00E92388"/>
    <w:rsid w:val="00E92D4C"/>
    <w:rsid w:val="00E93479"/>
    <w:rsid w:val="00E934E8"/>
    <w:rsid w:val="00E93BE9"/>
    <w:rsid w:val="00E94A73"/>
    <w:rsid w:val="00E95582"/>
    <w:rsid w:val="00EA0090"/>
    <w:rsid w:val="00EA1A64"/>
    <w:rsid w:val="00EA6263"/>
    <w:rsid w:val="00EA699E"/>
    <w:rsid w:val="00EA6B73"/>
    <w:rsid w:val="00EA7D27"/>
    <w:rsid w:val="00EB10C8"/>
    <w:rsid w:val="00EB290E"/>
    <w:rsid w:val="00EB3FA3"/>
    <w:rsid w:val="00EB4594"/>
    <w:rsid w:val="00EB4A89"/>
    <w:rsid w:val="00EB66FC"/>
    <w:rsid w:val="00EB6C99"/>
    <w:rsid w:val="00EB7A40"/>
    <w:rsid w:val="00EC0BF4"/>
    <w:rsid w:val="00EC1513"/>
    <w:rsid w:val="00EC177A"/>
    <w:rsid w:val="00EC2321"/>
    <w:rsid w:val="00EC29F3"/>
    <w:rsid w:val="00EC34E4"/>
    <w:rsid w:val="00EC41A1"/>
    <w:rsid w:val="00EC481F"/>
    <w:rsid w:val="00EC6EDE"/>
    <w:rsid w:val="00EC7979"/>
    <w:rsid w:val="00ED0611"/>
    <w:rsid w:val="00ED06C5"/>
    <w:rsid w:val="00ED074A"/>
    <w:rsid w:val="00ED0B28"/>
    <w:rsid w:val="00ED0C72"/>
    <w:rsid w:val="00ED13D4"/>
    <w:rsid w:val="00ED164B"/>
    <w:rsid w:val="00ED1C8B"/>
    <w:rsid w:val="00ED1E16"/>
    <w:rsid w:val="00ED30FA"/>
    <w:rsid w:val="00ED3A45"/>
    <w:rsid w:val="00ED3BDD"/>
    <w:rsid w:val="00ED5692"/>
    <w:rsid w:val="00ED7105"/>
    <w:rsid w:val="00ED798C"/>
    <w:rsid w:val="00EE16A1"/>
    <w:rsid w:val="00EE1BEB"/>
    <w:rsid w:val="00EE2E0D"/>
    <w:rsid w:val="00EE36B9"/>
    <w:rsid w:val="00EE42A2"/>
    <w:rsid w:val="00EE6FBF"/>
    <w:rsid w:val="00EE7E6E"/>
    <w:rsid w:val="00EF20C8"/>
    <w:rsid w:val="00EF2DAF"/>
    <w:rsid w:val="00EF2F19"/>
    <w:rsid w:val="00EF470B"/>
    <w:rsid w:val="00EF7C1F"/>
    <w:rsid w:val="00F00BD0"/>
    <w:rsid w:val="00F01471"/>
    <w:rsid w:val="00F02208"/>
    <w:rsid w:val="00F032C5"/>
    <w:rsid w:val="00F03ED6"/>
    <w:rsid w:val="00F0497C"/>
    <w:rsid w:val="00F04AE0"/>
    <w:rsid w:val="00F0589D"/>
    <w:rsid w:val="00F13478"/>
    <w:rsid w:val="00F141C0"/>
    <w:rsid w:val="00F1479C"/>
    <w:rsid w:val="00F14910"/>
    <w:rsid w:val="00F14A6E"/>
    <w:rsid w:val="00F14FAB"/>
    <w:rsid w:val="00F16082"/>
    <w:rsid w:val="00F16A85"/>
    <w:rsid w:val="00F204EB"/>
    <w:rsid w:val="00F2054A"/>
    <w:rsid w:val="00F20C31"/>
    <w:rsid w:val="00F215A5"/>
    <w:rsid w:val="00F2283C"/>
    <w:rsid w:val="00F22D13"/>
    <w:rsid w:val="00F23F5F"/>
    <w:rsid w:val="00F243C4"/>
    <w:rsid w:val="00F24A60"/>
    <w:rsid w:val="00F24DEE"/>
    <w:rsid w:val="00F2594B"/>
    <w:rsid w:val="00F26035"/>
    <w:rsid w:val="00F2790C"/>
    <w:rsid w:val="00F30A45"/>
    <w:rsid w:val="00F30F36"/>
    <w:rsid w:val="00F315E0"/>
    <w:rsid w:val="00F318B2"/>
    <w:rsid w:val="00F31F83"/>
    <w:rsid w:val="00F32119"/>
    <w:rsid w:val="00F32FF5"/>
    <w:rsid w:val="00F330BF"/>
    <w:rsid w:val="00F3399B"/>
    <w:rsid w:val="00F35EF4"/>
    <w:rsid w:val="00F36A74"/>
    <w:rsid w:val="00F37928"/>
    <w:rsid w:val="00F37A2E"/>
    <w:rsid w:val="00F409C1"/>
    <w:rsid w:val="00F41536"/>
    <w:rsid w:val="00F41819"/>
    <w:rsid w:val="00F4181C"/>
    <w:rsid w:val="00F418C4"/>
    <w:rsid w:val="00F41E1A"/>
    <w:rsid w:val="00F42FD4"/>
    <w:rsid w:val="00F43F6C"/>
    <w:rsid w:val="00F46133"/>
    <w:rsid w:val="00F46BD9"/>
    <w:rsid w:val="00F47063"/>
    <w:rsid w:val="00F47734"/>
    <w:rsid w:val="00F47B15"/>
    <w:rsid w:val="00F50BC2"/>
    <w:rsid w:val="00F51A69"/>
    <w:rsid w:val="00F52B1E"/>
    <w:rsid w:val="00F52F6D"/>
    <w:rsid w:val="00F53A59"/>
    <w:rsid w:val="00F545EF"/>
    <w:rsid w:val="00F558C0"/>
    <w:rsid w:val="00F560AD"/>
    <w:rsid w:val="00F56A46"/>
    <w:rsid w:val="00F576B8"/>
    <w:rsid w:val="00F57A85"/>
    <w:rsid w:val="00F60E1A"/>
    <w:rsid w:val="00F61225"/>
    <w:rsid w:val="00F61530"/>
    <w:rsid w:val="00F616B5"/>
    <w:rsid w:val="00F63293"/>
    <w:rsid w:val="00F6399C"/>
    <w:rsid w:val="00F63B5A"/>
    <w:rsid w:val="00F63F26"/>
    <w:rsid w:val="00F64007"/>
    <w:rsid w:val="00F64F2F"/>
    <w:rsid w:val="00F65156"/>
    <w:rsid w:val="00F655B2"/>
    <w:rsid w:val="00F65A3A"/>
    <w:rsid w:val="00F6635B"/>
    <w:rsid w:val="00F66E1B"/>
    <w:rsid w:val="00F66F85"/>
    <w:rsid w:val="00F6702E"/>
    <w:rsid w:val="00F670ED"/>
    <w:rsid w:val="00F67625"/>
    <w:rsid w:val="00F67AE6"/>
    <w:rsid w:val="00F67B38"/>
    <w:rsid w:val="00F7290E"/>
    <w:rsid w:val="00F729E5"/>
    <w:rsid w:val="00F72A8F"/>
    <w:rsid w:val="00F736A3"/>
    <w:rsid w:val="00F73711"/>
    <w:rsid w:val="00F73A79"/>
    <w:rsid w:val="00F73B1A"/>
    <w:rsid w:val="00F73DEF"/>
    <w:rsid w:val="00F74A49"/>
    <w:rsid w:val="00F75E27"/>
    <w:rsid w:val="00F765A7"/>
    <w:rsid w:val="00F76B53"/>
    <w:rsid w:val="00F770FB"/>
    <w:rsid w:val="00F77498"/>
    <w:rsid w:val="00F77E4F"/>
    <w:rsid w:val="00F77FFB"/>
    <w:rsid w:val="00F812F8"/>
    <w:rsid w:val="00F82A81"/>
    <w:rsid w:val="00F830D1"/>
    <w:rsid w:val="00F83849"/>
    <w:rsid w:val="00F83E8C"/>
    <w:rsid w:val="00F84373"/>
    <w:rsid w:val="00F873C0"/>
    <w:rsid w:val="00F90C42"/>
    <w:rsid w:val="00F911BF"/>
    <w:rsid w:val="00F91670"/>
    <w:rsid w:val="00F920CC"/>
    <w:rsid w:val="00F927E6"/>
    <w:rsid w:val="00F930F6"/>
    <w:rsid w:val="00F9475B"/>
    <w:rsid w:val="00F94FBC"/>
    <w:rsid w:val="00F95B02"/>
    <w:rsid w:val="00F96210"/>
    <w:rsid w:val="00F97305"/>
    <w:rsid w:val="00F9748D"/>
    <w:rsid w:val="00F97C37"/>
    <w:rsid w:val="00FA18EF"/>
    <w:rsid w:val="00FA45E3"/>
    <w:rsid w:val="00FA4C3F"/>
    <w:rsid w:val="00FA60FC"/>
    <w:rsid w:val="00FA71CD"/>
    <w:rsid w:val="00FB064C"/>
    <w:rsid w:val="00FB067B"/>
    <w:rsid w:val="00FB0FB8"/>
    <w:rsid w:val="00FB170A"/>
    <w:rsid w:val="00FB2ACE"/>
    <w:rsid w:val="00FB2E3B"/>
    <w:rsid w:val="00FB3FFA"/>
    <w:rsid w:val="00FB5533"/>
    <w:rsid w:val="00FB5963"/>
    <w:rsid w:val="00FB5D99"/>
    <w:rsid w:val="00FB5E33"/>
    <w:rsid w:val="00FB66BB"/>
    <w:rsid w:val="00FC11F2"/>
    <w:rsid w:val="00FC30BC"/>
    <w:rsid w:val="00FC3695"/>
    <w:rsid w:val="00FC378D"/>
    <w:rsid w:val="00FC591E"/>
    <w:rsid w:val="00FC697A"/>
    <w:rsid w:val="00FC775C"/>
    <w:rsid w:val="00FC7AB6"/>
    <w:rsid w:val="00FD0B1C"/>
    <w:rsid w:val="00FD16D5"/>
    <w:rsid w:val="00FD390C"/>
    <w:rsid w:val="00FD454D"/>
    <w:rsid w:val="00FD4868"/>
    <w:rsid w:val="00FD56FA"/>
    <w:rsid w:val="00FD5CAE"/>
    <w:rsid w:val="00FD5D57"/>
    <w:rsid w:val="00FD621B"/>
    <w:rsid w:val="00FD73DC"/>
    <w:rsid w:val="00FD73F5"/>
    <w:rsid w:val="00FE0670"/>
    <w:rsid w:val="00FE0839"/>
    <w:rsid w:val="00FE0DFA"/>
    <w:rsid w:val="00FE1169"/>
    <w:rsid w:val="00FE12B1"/>
    <w:rsid w:val="00FE16AC"/>
    <w:rsid w:val="00FE38C6"/>
    <w:rsid w:val="00FE51C2"/>
    <w:rsid w:val="00FE69A8"/>
    <w:rsid w:val="00FE7254"/>
    <w:rsid w:val="00FE755B"/>
    <w:rsid w:val="00FF0938"/>
    <w:rsid w:val="00FF1B7D"/>
    <w:rsid w:val="00FF1B8C"/>
    <w:rsid w:val="00FF2D0E"/>
    <w:rsid w:val="00FF6650"/>
    <w:rsid w:val="00FF6738"/>
    <w:rsid w:val="0167318B"/>
    <w:rsid w:val="0216C70A"/>
    <w:rsid w:val="05058A49"/>
    <w:rsid w:val="0531842E"/>
    <w:rsid w:val="064BE25D"/>
    <w:rsid w:val="079543BB"/>
    <w:rsid w:val="080C669D"/>
    <w:rsid w:val="087410D0"/>
    <w:rsid w:val="08D24628"/>
    <w:rsid w:val="0A653B46"/>
    <w:rsid w:val="0CC3F115"/>
    <w:rsid w:val="0CECF538"/>
    <w:rsid w:val="0DBAFF22"/>
    <w:rsid w:val="0EE520E8"/>
    <w:rsid w:val="0FC59073"/>
    <w:rsid w:val="102E968A"/>
    <w:rsid w:val="112E7BFA"/>
    <w:rsid w:val="1394B156"/>
    <w:rsid w:val="14872A31"/>
    <w:rsid w:val="14B53FA8"/>
    <w:rsid w:val="14BBE535"/>
    <w:rsid w:val="156CBEA8"/>
    <w:rsid w:val="15F3EBD7"/>
    <w:rsid w:val="167CF014"/>
    <w:rsid w:val="16ECD70C"/>
    <w:rsid w:val="175A116E"/>
    <w:rsid w:val="17BB30AA"/>
    <w:rsid w:val="184BA5B1"/>
    <w:rsid w:val="1861DD19"/>
    <w:rsid w:val="18685220"/>
    <w:rsid w:val="18A14A3D"/>
    <w:rsid w:val="18EC5B90"/>
    <w:rsid w:val="19440F94"/>
    <w:rsid w:val="1944BC6A"/>
    <w:rsid w:val="19534A5C"/>
    <w:rsid w:val="1AA1523C"/>
    <w:rsid w:val="1B07649D"/>
    <w:rsid w:val="1B5482C2"/>
    <w:rsid w:val="1C462E2E"/>
    <w:rsid w:val="1CEDD5CB"/>
    <w:rsid w:val="1D73BF78"/>
    <w:rsid w:val="1D84D804"/>
    <w:rsid w:val="1DE7C520"/>
    <w:rsid w:val="1DEA8B81"/>
    <w:rsid w:val="1E16EE8A"/>
    <w:rsid w:val="1F22FE6E"/>
    <w:rsid w:val="200936E7"/>
    <w:rsid w:val="20A7A005"/>
    <w:rsid w:val="21894BE0"/>
    <w:rsid w:val="2236C987"/>
    <w:rsid w:val="22886BEA"/>
    <w:rsid w:val="23BA1555"/>
    <w:rsid w:val="23DD0E32"/>
    <w:rsid w:val="23E4745B"/>
    <w:rsid w:val="2421438C"/>
    <w:rsid w:val="244F1847"/>
    <w:rsid w:val="2514B017"/>
    <w:rsid w:val="274CB22E"/>
    <w:rsid w:val="27AE09AE"/>
    <w:rsid w:val="2A985C11"/>
    <w:rsid w:val="2AF06C9E"/>
    <w:rsid w:val="2BE233F5"/>
    <w:rsid w:val="2C0D0D4D"/>
    <w:rsid w:val="2CC70AF1"/>
    <w:rsid w:val="2D331F9D"/>
    <w:rsid w:val="2D3F1A77"/>
    <w:rsid w:val="2D8E4A41"/>
    <w:rsid w:val="2DA8DDAE"/>
    <w:rsid w:val="2DAF282D"/>
    <w:rsid w:val="2DC5C553"/>
    <w:rsid w:val="2EE22670"/>
    <w:rsid w:val="2FAFDFE8"/>
    <w:rsid w:val="308C811A"/>
    <w:rsid w:val="31C3D79F"/>
    <w:rsid w:val="31C49808"/>
    <w:rsid w:val="31C60AAA"/>
    <w:rsid w:val="3232BB50"/>
    <w:rsid w:val="32FFF2C6"/>
    <w:rsid w:val="34F36A0D"/>
    <w:rsid w:val="35E08C4F"/>
    <w:rsid w:val="3719B5AF"/>
    <w:rsid w:val="37E2B2C8"/>
    <w:rsid w:val="37E97E3E"/>
    <w:rsid w:val="383CE0D3"/>
    <w:rsid w:val="39070A54"/>
    <w:rsid w:val="3936E378"/>
    <w:rsid w:val="3ACB311B"/>
    <w:rsid w:val="3BE69E4A"/>
    <w:rsid w:val="3C67017C"/>
    <w:rsid w:val="3D9A41EC"/>
    <w:rsid w:val="3E0C1DF6"/>
    <w:rsid w:val="3F157AC1"/>
    <w:rsid w:val="3F644C1C"/>
    <w:rsid w:val="40E2C37D"/>
    <w:rsid w:val="41001C7D"/>
    <w:rsid w:val="4143BBBE"/>
    <w:rsid w:val="4168445E"/>
    <w:rsid w:val="41B25015"/>
    <w:rsid w:val="427BB688"/>
    <w:rsid w:val="4300EBEC"/>
    <w:rsid w:val="43C126EF"/>
    <w:rsid w:val="4496630C"/>
    <w:rsid w:val="44C3E103"/>
    <w:rsid w:val="4598A29F"/>
    <w:rsid w:val="45ECC297"/>
    <w:rsid w:val="46019AA8"/>
    <w:rsid w:val="46038A48"/>
    <w:rsid w:val="466F55D2"/>
    <w:rsid w:val="46782129"/>
    <w:rsid w:val="46E235C1"/>
    <w:rsid w:val="46E33487"/>
    <w:rsid w:val="478B4A31"/>
    <w:rsid w:val="487F24B5"/>
    <w:rsid w:val="490DDEDB"/>
    <w:rsid w:val="496A76E4"/>
    <w:rsid w:val="4989AC16"/>
    <w:rsid w:val="4AA331EE"/>
    <w:rsid w:val="4C16315E"/>
    <w:rsid w:val="4CCB7A56"/>
    <w:rsid w:val="4D9B90AA"/>
    <w:rsid w:val="4DADADC1"/>
    <w:rsid w:val="4E28FBBE"/>
    <w:rsid w:val="4F078E30"/>
    <w:rsid w:val="4F9415F2"/>
    <w:rsid w:val="5030FBCF"/>
    <w:rsid w:val="512B3640"/>
    <w:rsid w:val="51CA5805"/>
    <w:rsid w:val="51E78223"/>
    <w:rsid w:val="51FAD9C1"/>
    <w:rsid w:val="527FF896"/>
    <w:rsid w:val="529C3EB3"/>
    <w:rsid w:val="537D0074"/>
    <w:rsid w:val="54184190"/>
    <w:rsid w:val="5445C83A"/>
    <w:rsid w:val="54875422"/>
    <w:rsid w:val="552F8E49"/>
    <w:rsid w:val="553729BD"/>
    <w:rsid w:val="55676B2B"/>
    <w:rsid w:val="55EE151D"/>
    <w:rsid w:val="55EF59DF"/>
    <w:rsid w:val="574B3ECD"/>
    <w:rsid w:val="5788BC79"/>
    <w:rsid w:val="5808B41B"/>
    <w:rsid w:val="59414332"/>
    <w:rsid w:val="59466220"/>
    <w:rsid w:val="5AA05027"/>
    <w:rsid w:val="5AEB1897"/>
    <w:rsid w:val="5B0283DD"/>
    <w:rsid w:val="5B3E3894"/>
    <w:rsid w:val="5B50284F"/>
    <w:rsid w:val="5B68E694"/>
    <w:rsid w:val="5B68FC36"/>
    <w:rsid w:val="5B6AA406"/>
    <w:rsid w:val="5B779CBF"/>
    <w:rsid w:val="5B7DD7FD"/>
    <w:rsid w:val="5D86D8BD"/>
    <w:rsid w:val="5E00A93C"/>
    <w:rsid w:val="5E191C7D"/>
    <w:rsid w:val="5E5476C9"/>
    <w:rsid w:val="5E7EDD26"/>
    <w:rsid w:val="5EA09CF8"/>
    <w:rsid w:val="5F494E80"/>
    <w:rsid w:val="5FCFEC49"/>
    <w:rsid w:val="5FD6E965"/>
    <w:rsid w:val="5FDA52F9"/>
    <w:rsid w:val="60077E06"/>
    <w:rsid w:val="606584C0"/>
    <w:rsid w:val="60660AE2"/>
    <w:rsid w:val="61FB417D"/>
    <w:rsid w:val="62039D0D"/>
    <w:rsid w:val="639604C8"/>
    <w:rsid w:val="63F7CF6C"/>
    <w:rsid w:val="643B0095"/>
    <w:rsid w:val="655ABA04"/>
    <w:rsid w:val="65774917"/>
    <w:rsid w:val="65BB2797"/>
    <w:rsid w:val="65C926D7"/>
    <w:rsid w:val="661F95F0"/>
    <w:rsid w:val="670F519C"/>
    <w:rsid w:val="679077DA"/>
    <w:rsid w:val="67E9E9CE"/>
    <w:rsid w:val="681F4C16"/>
    <w:rsid w:val="6882F243"/>
    <w:rsid w:val="690E71B8"/>
    <w:rsid w:val="6AAA4219"/>
    <w:rsid w:val="6B2B7E83"/>
    <w:rsid w:val="6B552CB8"/>
    <w:rsid w:val="6B7CEF29"/>
    <w:rsid w:val="6C48615C"/>
    <w:rsid w:val="6CA4B29B"/>
    <w:rsid w:val="6E37A0FA"/>
    <w:rsid w:val="6F096A49"/>
    <w:rsid w:val="6FEF2BCF"/>
    <w:rsid w:val="701566A2"/>
    <w:rsid w:val="70893F96"/>
    <w:rsid w:val="714A6E72"/>
    <w:rsid w:val="71BDC338"/>
    <w:rsid w:val="73974614"/>
    <w:rsid w:val="74160467"/>
    <w:rsid w:val="7455C833"/>
    <w:rsid w:val="7646E75E"/>
    <w:rsid w:val="76DE2CCA"/>
    <w:rsid w:val="76E92D30"/>
    <w:rsid w:val="7731C9C7"/>
    <w:rsid w:val="77F41438"/>
    <w:rsid w:val="7815A458"/>
    <w:rsid w:val="78331ABC"/>
    <w:rsid w:val="786CBA90"/>
    <w:rsid w:val="793CB7CC"/>
    <w:rsid w:val="7940020E"/>
    <w:rsid w:val="795D9B30"/>
    <w:rsid w:val="7C746032"/>
    <w:rsid w:val="7D5B7EC5"/>
    <w:rsid w:val="7F64151A"/>
    <w:rsid w:val="7FB5EB62"/>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B4BF3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customStyle="1" w:styleId="Nerazreenaomemba1">
    <w:name w:val="Nerazrešena omemba1"/>
    <w:basedOn w:val="DefaultParagraphFont"/>
    <w:uiPriority w:val="99"/>
    <w:semiHidden/>
    <w:unhideWhenUsed/>
    <w:rsid w:val="003A49D8"/>
    <w:rPr>
      <w:color w:val="605E5C"/>
      <w:shd w:val="clear" w:color="auto" w:fill="E1DFDD"/>
    </w:rPr>
  </w:style>
  <w:style w:type="character" w:styleId="CommentReference">
    <w:name w:val="annotation reference"/>
    <w:basedOn w:val="DefaultParagraphFont"/>
    <w:uiPriority w:val="99"/>
    <w:semiHidden/>
    <w:unhideWhenUsed/>
    <w:rsid w:val="00114A03"/>
    <w:rPr>
      <w:sz w:val="16"/>
      <w:szCs w:val="16"/>
    </w:rPr>
  </w:style>
  <w:style w:type="paragraph" w:styleId="CommentText">
    <w:name w:val="annotation text"/>
    <w:basedOn w:val="Normal"/>
    <w:link w:val="CommentTextChar"/>
    <w:uiPriority w:val="99"/>
    <w:unhideWhenUsed/>
    <w:rsid w:val="00114A03"/>
    <w:pPr>
      <w:spacing w:line="240" w:lineRule="auto"/>
    </w:pPr>
    <w:rPr>
      <w:szCs w:val="20"/>
    </w:rPr>
  </w:style>
  <w:style w:type="character" w:customStyle="1" w:styleId="CommentTextChar">
    <w:name w:val="Comment Text Char"/>
    <w:basedOn w:val="DefaultParagraphFont"/>
    <w:link w:val="CommentText"/>
    <w:uiPriority w:val="99"/>
    <w:rsid w:val="00114A03"/>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114A03"/>
    <w:rPr>
      <w:b/>
      <w:bCs/>
    </w:rPr>
  </w:style>
  <w:style w:type="character" w:customStyle="1" w:styleId="CommentSubjectChar">
    <w:name w:val="Comment Subject Char"/>
    <w:basedOn w:val="CommentTextChar"/>
    <w:link w:val="CommentSubject"/>
    <w:uiPriority w:val="99"/>
    <w:semiHidden/>
    <w:rsid w:val="00114A03"/>
    <w:rPr>
      <w:rFonts w:ascii="Myriad Pro" w:hAnsi="Myriad Pro"/>
      <w:b/>
      <w:bCs/>
      <w:sz w:val="20"/>
      <w:szCs w:val="20"/>
    </w:rPr>
  </w:style>
  <w:style w:type="paragraph" w:styleId="Revision">
    <w:name w:val="Revision"/>
    <w:hidden/>
    <w:uiPriority w:val="99"/>
    <w:semiHidden/>
    <w:rsid w:val="00B11EE5"/>
    <w:pPr>
      <w:spacing w:after="0" w:line="240" w:lineRule="auto"/>
    </w:pPr>
    <w:rPr>
      <w:rFonts w:ascii="Myriad Pro" w:hAnsi="Myriad Pro"/>
      <w:sz w:val="20"/>
    </w:rPr>
  </w:style>
  <w:style w:type="character" w:styleId="Strong">
    <w:name w:val="Strong"/>
    <w:basedOn w:val="DefaultParagraphFont"/>
    <w:uiPriority w:val="22"/>
    <w:qFormat/>
    <w:rsid w:val="00FF1B8C"/>
    <w:rPr>
      <w:b/>
      <w:bCs/>
    </w:rPr>
  </w:style>
  <w:style w:type="character" w:styleId="Emphasis">
    <w:name w:val="Emphasis"/>
    <w:basedOn w:val="DefaultParagraphFont"/>
    <w:uiPriority w:val="20"/>
    <w:qFormat/>
    <w:rsid w:val="00592EB2"/>
    <w:rPr>
      <w:i/>
      <w:iCs/>
    </w:rPr>
  </w:style>
  <w:style w:type="paragraph" w:customStyle="1" w:styleId="TekstgrafEO">
    <w:name w:val="Tekst graf_EO"/>
    <w:basedOn w:val="Normal"/>
    <w:link w:val="TekstgrafEOChar"/>
    <w:qFormat/>
    <w:rsid w:val="006E5FD0"/>
    <w:pPr>
      <w:spacing w:line="240" w:lineRule="auto"/>
      <w:ind w:left="340"/>
    </w:pPr>
    <w:rPr>
      <w:rFonts w:eastAsia="Times New Roman" w:cs="Times New Roman"/>
      <w:sz w:val="18"/>
      <w:szCs w:val="18"/>
    </w:rPr>
  </w:style>
  <w:style w:type="character" w:customStyle="1" w:styleId="TekstgrafEOChar">
    <w:name w:val="Tekst graf_EO Char"/>
    <w:basedOn w:val="DefaultParagraphFont"/>
    <w:link w:val="TekstgrafEO"/>
    <w:rsid w:val="006E5FD0"/>
    <w:rPr>
      <w:rFonts w:ascii="Myriad Pro" w:eastAsia="Times New Roman" w:hAnsi="Myriad Pro" w:cs="Times New Roman"/>
      <w:sz w:val="18"/>
      <w:szCs w:val="18"/>
    </w:rPr>
  </w:style>
  <w:style w:type="table" w:customStyle="1" w:styleId="Tabelamrea1">
    <w:name w:val="Tabela – mreža1"/>
    <w:basedOn w:val="TableNormal"/>
    <w:next w:val="TableGrid"/>
    <w:uiPriority w:val="39"/>
    <w:rsid w:val="009A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TableNormal"/>
    <w:next w:val="TableGrid"/>
    <w:uiPriority w:val="39"/>
    <w:rsid w:val="009A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TableNormal"/>
    <w:next w:val="TableGrid"/>
    <w:uiPriority w:val="39"/>
    <w:rsid w:val="009A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TableNormal"/>
    <w:next w:val="TableGrid"/>
    <w:uiPriority w:val="39"/>
    <w:rsid w:val="009A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TableNormal"/>
    <w:next w:val="TableGrid"/>
    <w:uiPriority w:val="39"/>
    <w:rsid w:val="009A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TableNormal"/>
    <w:next w:val="TableGrid"/>
    <w:uiPriority w:val="39"/>
    <w:rsid w:val="006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TableNormal"/>
    <w:next w:val="TableGrid"/>
    <w:uiPriority w:val="39"/>
    <w:rsid w:val="006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TableNormal"/>
    <w:next w:val="TableGrid"/>
    <w:uiPriority w:val="39"/>
    <w:rsid w:val="006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
    <w:name w:val="Tabela – mreža9"/>
    <w:basedOn w:val="TableNormal"/>
    <w:next w:val="TableGrid"/>
    <w:uiPriority w:val="39"/>
    <w:rsid w:val="006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0">
    <w:name w:val="Tabela – mreža10"/>
    <w:basedOn w:val="TableNormal"/>
    <w:next w:val="TableGrid"/>
    <w:uiPriority w:val="39"/>
    <w:rsid w:val="006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TableNormal"/>
    <w:next w:val="TableGrid"/>
    <w:uiPriority w:val="39"/>
    <w:rsid w:val="006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ED0B28"/>
  </w:style>
  <w:style w:type="character" w:customStyle="1" w:styleId="A0">
    <w:name w:val="A0"/>
    <w:uiPriority w:val="99"/>
    <w:rsid w:val="004712E5"/>
    <w:rPr>
      <w:rFonts w:cs="Myriad Pro"/>
      <w:color w:val="000000"/>
      <w:sz w:val="18"/>
      <w:szCs w:val="18"/>
    </w:rPr>
  </w:style>
  <w:style w:type="paragraph" w:customStyle="1" w:styleId="TekstEO">
    <w:name w:val="Tekst_EO"/>
    <w:basedOn w:val="Normal"/>
    <w:link w:val="TekstEOChar"/>
    <w:qFormat/>
    <w:rsid w:val="006A3DC9"/>
    <w:pPr>
      <w:spacing w:line="240" w:lineRule="auto"/>
    </w:pPr>
    <w:rPr>
      <w:rFonts w:eastAsia="Times New Roman" w:cs="Times New Roman"/>
      <w:sz w:val="18"/>
      <w:szCs w:val="18"/>
    </w:rPr>
  </w:style>
  <w:style w:type="character" w:customStyle="1" w:styleId="TekstEOChar">
    <w:name w:val="Tekst_EO Char"/>
    <w:basedOn w:val="DefaultParagraphFont"/>
    <w:link w:val="TekstEO"/>
    <w:rsid w:val="006A3DC9"/>
    <w:rPr>
      <w:rFonts w:ascii="Myriad Pro" w:eastAsia="Times New Roman" w:hAnsi="Myriad Pro" w:cs="Times New Roman"/>
      <w:sz w:val="18"/>
      <w:szCs w:val="18"/>
    </w:rPr>
  </w:style>
  <w:style w:type="character" w:customStyle="1" w:styleId="normaltextrun">
    <w:name w:val="normaltextrun"/>
    <w:basedOn w:val="DefaultParagraphFont"/>
    <w:rsid w:val="006A3DC9"/>
  </w:style>
  <w:style w:type="character" w:customStyle="1" w:styleId="Mention1">
    <w:name w:val="Mention1"/>
    <w:basedOn w:val="DefaultParagraphFont"/>
    <w:uiPriority w:val="99"/>
    <w:unhideWhenUsed/>
    <w:rsid w:val="007E3060"/>
    <w:rPr>
      <w:color w:val="2B579A"/>
      <w:shd w:val="clear" w:color="auto" w:fill="E6E6E6"/>
    </w:rPr>
  </w:style>
  <w:style w:type="character" w:customStyle="1" w:styleId="UnresolvedMention1">
    <w:name w:val="Unresolved Mention1"/>
    <w:basedOn w:val="DefaultParagraphFont"/>
    <w:uiPriority w:val="99"/>
    <w:semiHidden/>
    <w:unhideWhenUsed/>
    <w:rsid w:val="007E3060"/>
    <w:rPr>
      <w:color w:val="605E5C"/>
      <w:shd w:val="clear" w:color="auto" w:fill="E1DFDD"/>
    </w:rPr>
  </w:style>
  <w:style w:type="table" w:customStyle="1" w:styleId="Tabelamrea12">
    <w:name w:val="Tabela – mreža12"/>
    <w:basedOn w:val="TableNormal"/>
    <w:next w:val="TableGrid"/>
    <w:uiPriority w:val="39"/>
    <w:rsid w:val="002A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
    <w:name w:val="Tabela – mreža81"/>
    <w:basedOn w:val="TableNormal"/>
    <w:next w:val="TableGrid"/>
    <w:uiPriority w:val="39"/>
    <w:rsid w:val="00271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6D50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73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4.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18.emf"/><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EE665-64DF-43B3-A210-A5329EAC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16859</CharactersWithSpaces>
  <SharedDoc>false</SharedDoc>
  <HLinks>
    <vt:vector size="12" baseType="variant">
      <vt:variant>
        <vt:i4>4915252</vt:i4>
      </vt:variant>
      <vt:variant>
        <vt:i4>6</vt:i4>
      </vt:variant>
      <vt:variant>
        <vt:i4>0</vt:i4>
      </vt:variant>
      <vt:variant>
        <vt:i4>5</vt:i4>
      </vt:variant>
      <vt:variant>
        <vt:lpwstr>mailto:polona.osrajnik@gov.si</vt:lpwstr>
      </vt:variant>
      <vt:variant>
        <vt:lpwstr/>
      </vt:variant>
      <vt:variant>
        <vt:i4>4915252</vt:i4>
      </vt:variant>
      <vt:variant>
        <vt:i4>0</vt:i4>
      </vt:variant>
      <vt:variant>
        <vt:i4>0</vt:i4>
      </vt:variant>
      <vt:variant>
        <vt:i4>5</vt:i4>
      </vt:variant>
      <vt:variant>
        <vt:lpwstr>mailto:polona.osrajnik@gov.si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2023-08-21T12:27:00Z</dcterms:created>
  <dcterms:modified xsi:type="dcterms:W3CDTF">2023-08-21T12:27:00Z</dcterms:modified>
</cp:coreProperties>
</file>