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950F05" w14:textId="47D70E9F" w:rsidR="001D6793" w:rsidRPr="00D13EB8" w:rsidRDefault="004B235F" w:rsidP="001D6793">
      <w:pPr>
        <w:pStyle w:val="Naslov11"/>
      </w:pPr>
      <w:r w:rsidRPr="00D13EB8">
        <w:t>CHARTS OF THE WEEK</w:t>
      </w:r>
    </w:p>
    <w:p w14:paraId="636DFC9E" w14:textId="50D700BF" w:rsidR="001D6793" w:rsidRPr="00D13EB8" w:rsidRDefault="00947026" w:rsidP="001D6793">
      <w:pPr>
        <w:pStyle w:val="Naslov21"/>
      </w:pPr>
      <w:r w:rsidRPr="00D13EB8">
        <w:t>20–24 February 2023</w:t>
      </w:r>
    </w:p>
    <w:p w14:paraId="0D813662" w14:textId="62600A0A" w:rsidR="00DF4F0B" w:rsidRPr="00D13EB8" w:rsidRDefault="00DF4F0B"/>
    <w:p w14:paraId="196DFF85" w14:textId="77777777" w:rsidR="00916FC4" w:rsidRPr="00D13EB8" w:rsidRDefault="00916FC4"/>
    <w:p w14:paraId="4F6E726F" w14:textId="16A07A21" w:rsidR="007808DC" w:rsidRPr="00D13EB8" w:rsidRDefault="007808DC" w:rsidP="007808DC">
      <w:pPr>
        <w:spacing w:line="240" w:lineRule="atLeast"/>
      </w:pPr>
      <w:r w:rsidRPr="00D13EB8">
        <w:t>The year-on-year decline in wages deepened slightly in December, and in 2022 as a whole the average wage fell by 5.6% in real terms. The year-on-year increase in Slovenian producer prices slowed further at the beginning of the year (to 18.2%)</w:t>
      </w:r>
      <w:r w:rsidR="00FA5454" w:rsidRPr="00D13EB8">
        <w:t>.</w:t>
      </w:r>
      <w:r w:rsidRPr="00D13EB8">
        <w:t xml:space="preserve"> </w:t>
      </w:r>
      <w:r w:rsidR="00FA5454" w:rsidRPr="00D13EB8">
        <w:t xml:space="preserve">This </w:t>
      </w:r>
      <w:r w:rsidRPr="00D13EB8">
        <w:t xml:space="preserve">was </w:t>
      </w:r>
      <w:r w:rsidR="003D3F15" w:rsidRPr="00D13EB8">
        <w:t>entirely</w:t>
      </w:r>
      <w:r w:rsidR="00FA5454" w:rsidRPr="00D13EB8">
        <w:t xml:space="preserve"> </w:t>
      </w:r>
      <w:r w:rsidRPr="00D13EB8">
        <w:t xml:space="preserve">due to a high base, </w:t>
      </w:r>
      <w:r w:rsidR="00FA5454" w:rsidRPr="00D13EB8">
        <w:t>as</w:t>
      </w:r>
      <w:r w:rsidRPr="00D13EB8">
        <w:t xml:space="preserve"> prices rose by 1.2% month-on-month. The value of the sentiment indicator in February remained roughly the same as in January, but was lower year-on-year</w:t>
      </w:r>
      <w:r w:rsidR="00DD5550" w:rsidRPr="00D13EB8">
        <w:t>.</w:t>
      </w:r>
      <w:r w:rsidRPr="00D13EB8">
        <w:t xml:space="preserve"> </w:t>
      </w:r>
      <w:r w:rsidR="00DD5550" w:rsidRPr="00D13EB8">
        <w:t>C</w:t>
      </w:r>
      <w:r w:rsidRPr="00D13EB8">
        <w:t>onfidence was lower among consumers, in manufacturing and construction, while it was higher in trade and services. In February, the nominal value of fiscally verified invoices was 14% higher year-on-year, by a good tenth in trade</w:t>
      </w:r>
      <w:r w:rsidR="00B57791" w:rsidRPr="00D13EB8">
        <w:t>;</w:t>
      </w:r>
      <w:r w:rsidRPr="00D13EB8">
        <w:t xml:space="preserve"> growth remained relatively high </w:t>
      </w:r>
      <w:r w:rsidR="00F15013" w:rsidRPr="00D13EB8">
        <w:t xml:space="preserve">also </w:t>
      </w:r>
      <w:r w:rsidRPr="00D13EB8">
        <w:t>in services due to the low base.</w:t>
      </w:r>
    </w:p>
    <w:p w14:paraId="4AA5AB51" w14:textId="77777777" w:rsidR="00947026" w:rsidRPr="00D13EB8" w:rsidRDefault="00947026" w:rsidP="00947026">
      <w:pPr>
        <w:spacing w:after="160" w:line="259" w:lineRule="auto"/>
        <w:jc w:val="left"/>
      </w:pPr>
    </w:p>
    <w:p w14:paraId="50AA160C" w14:textId="77777777" w:rsidR="00947026" w:rsidRPr="00D13EB8" w:rsidRDefault="00947026" w:rsidP="00947026">
      <w:pPr>
        <w:spacing w:after="160" w:line="259" w:lineRule="auto"/>
        <w:jc w:val="left"/>
      </w:pPr>
    </w:p>
    <w:tbl>
      <w:tblPr>
        <w:tblStyle w:val="TableGrid"/>
        <w:tblW w:w="96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left w:w="0" w:type="dxa"/>
          <w:bottom w:w="113" w:type="dxa"/>
          <w:right w:w="0" w:type="dxa"/>
        </w:tblCellMar>
        <w:tblLook w:val="04A0" w:firstRow="1" w:lastRow="0" w:firstColumn="1" w:lastColumn="0" w:noHBand="0" w:noVBand="1"/>
      </w:tblPr>
      <w:tblGrid>
        <w:gridCol w:w="4985"/>
        <w:gridCol w:w="1115"/>
        <w:gridCol w:w="3545"/>
      </w:tblGrid>
      <w:tr w:rsidR="00947026" w:rsidRPr="00D13EB8" w14:paraId="39E2E819" w14:textId="77777777" w:rsidTr="000C5EC7">
        <w:trPr>
          <w:trHeight w:val="207"/>
        </w:trPr>
        <w:tc>
          <w:tcPr>
            <w:tcW w:w="6100" w:type="dxa"/>
            <w:gridSpan w:val="2"/>
            <w:tcBorders>
              <w:top w:val="nil"/>
              <w:left w:val="nil"/>
              <w:bottom w:val="single" w:sz="4" w:space="0" w:color="auto"/>
              <w:right w:val="nil"/>
            </w:tcBorders>
            <w:hideMark/>
          </w:tcPr>
          <w:p w14:paraId="281C991C" w14:textId="77777777" w:rsidR="00947026" w:rsidRPr="00D13EB8" w:rsidRDefault="00947026" w:rsidP="000C5EC7">
            <w:pPr>
              <w:pStyle w:val="Naslov31"/>
              <w:jc w:val="left"/>
            </w:pPr>
            <w:r w:rsidRPr="00D13EB8">
              <w:t>Average gross wage per employee, December 2022</w:t>
            </w:r>
          </w:p>
        </w:tc>
        <w:tc>
          <w:tcPr>
            <w:tcW w:w="3545" w:type="dxa"/>
            <w:tcBorders>
              <w:top w:val="nil"/>
              <w:left w:val="nil"/>
              <w:bottom w:val="single" w:sz="4" w:space="0" w:color="auto"/>
              <w:right w:val="nil"/>
            </w:tcBorders>
          </w:tcPr>
          <w:p w14:paraId="6C2A9D56" w14:textId="77777777" w:rsidR="00947026" w:rsidRPr="00D13EB8" w:rsidRDefault="00947026" w:rsidP="000C5EC7">
            <w:pPr>
              <w:pStyle w:val="Naslov31"/>
            </w:pPr>
          </w:p>
        </w:tc>
      </w:tr>
      <w:tr w:rsidR="007808DC" w:rsidRPr="00D13EB8" w14:paraId="29D4BAA5" w14:textId="77777777" w:rsidTr="000C5EC7">
        <w:trPr>
          <w:trHeight w:val="1134"/>
        </w:trPr>
        <w:tc>
          <w:tcPr>
            <w:tcW w:w="4985" w:type="dxa"/>
            <w:tcBorders>
              <w:top w:val="single" w:sz="4" w:space="0" w:color="auto"/>
              <w:left w:val="nil"/>
              <w:bottom w:val="nil"/>
              <w:right w:val="nil"/>
            </w:tcBorders>
          </w:tcPr>
          <w:p w14:paraId="50EEEAA9" w14:textId="159F286B" w:rsidR="007808DC" w:rsidRPr="00D13EB8" w:rsidRDefault="007808DC" w:rsidP="007808DC">
            <w:pPr>
              <w:pStyle w:val="ListParagraph"/>
              <w:ind w:left="0"/>
            </w:pPr>
            <w:r w:rsidRPr="00D13EB8">
              <w:rPr>
                <w:noProof/>
              </w:rPr>
              <w:drawing>
                <wp:inline distT="0" distB="0" distL="0" distR="0" wp14:anchorId="79ACF4DC" wp14:editId="2DF3F768">
                  <wp:extent cx="3106800" cy="2293200"/>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06800" cy="2293200"/>
                          </a:xfrm>
                          <a:prstGeom prst="rect">
                            <a:avLst/>
                          </a:prstGeom>
                          <a:noFill/>
                        </pic:spPr>
                      </pic:pic>
                    </a:graphicData>
                  </a:graphic>
                </wp:inline>
              </w:drawing>
            </w:r>
          </w:p>
          <w:p w14:paraId="78AD3E97" w14:textId="77777777" w:rsidR="007808DC" w:rsidRPr="00D13EB8" w:rsidRDefault="007808DC" w:rsidP="007808DC">
            <w:pPr>
              <w:pStyle w:val="ListParagraph"/>
              <w:ind w:left="0"/>
            </w:pPr>
          </w:p>
        </w:tc>
        <w:tc>
          <w:tcPr>
            <w:tcW w:w="4660" w:type="dxa"/>
            <w:gridSpan w:val="2"/>
            <w:tcBorders>
              <w:top w:val="single" w:sz="4" w:space="0" w:color="auto"/>
              <w:left w:val="nil"/>
              <w:bottom w:val="nil"/>
              <w:right w:val="nil"/>
            </w:tcBorders>
            <w:tcMar>
              <w:top w:w="113" w:type="dxa"/>
              <w:left w:w="284" w:type="dxa"/>
              <w:bottom w:w="113" w:type="dxa"/>
              <w:right w:w="0" w:type="dxa"/>
            </w:tcMar>
            <w:hideMark/>
          </w:tcPr>
          <w:p w14:paraId="61056F02" w14:textId="6C1B3048" w:rsidR="007808DC" w:rsidRPr="00D13EB8" w:rsidRDefault="007808DC" w:rsidP="007808DC">
            <w:r w:rsidRPr="00D13EB8">
              <w:rPr>
                <w:b/>
              </w:rPr>
              <w:t>Amid high inflation, the average gross wage fell by 5.2% year-on-year in real terms in December. </w:t>
            </w:r>
            <w:r w:rsidRPr="00D13EB8">
              <w:t>The year-on-year decline was the same in both the private and public sectors</w:t>
            </w:r>
            <w:r w:rsidR="00FA5454" w:rsidRPr="00D13EB8">
              <w:t xml:space="preserve"> and </w:t>
            </w:r>
            <w:r w:rsidR="003D3F15" w:rsidRPr="00D13EB8">
              <w:t>was more pronounced</w:t>
            </w:r>
            <w:r w:rsidR="00FA5454" w:rsidRPr="00D13EB8">
              <w:t xml:space="preserve"> compared to the previous months</w:t>
            </w:r>
            <w:r w:rsidRPr="00D13EB8">
              <w:t>.</w:t>
            </w:r>
            <w:r w:rsidRPr="00D13EB8">
              <w:rPr>
                <w:b/>
              </w:rPr>
              <w:t xml:space="preserve"> </w:t>
            </w:r>
            <w:r w:rsidRPr="00D13EB8">
              <w:t>This was mainly due to a relatively high December 2021 base. Only administrative and support service activities recorded positive real wage growth in December. These are also among the activities experiencing above-average labour shortages. In 2022 as a whole, the average gross wage was 2.8% higher in nominal terms, but 5.6% lower in real terms (10.4% in the public sector and 2.4% in the private sector).</w:t>
            </w:r>
          </w:p>
          <w:p w14:paraId="28807991" w14:textId="77777777" w:rsidR="007808DC" w:rsidRPr="00D13EB8" w:rsidRDefault="007808DC" w:rsidP="007808DC">
            <w:pPr>
              <w:rPr>
                <w:bCs/>
              </w:rPr>
            </w:pPr>
          </w:p>
          <w:p w14:paraId="294727F5" w14:textId="145376E8" w:rsidR="007808DC" w:rsidRPr="00D13EB8" w:rsidRDefault="007808DC" w:rsidP="007808DC">
            <w:pPr>
              <w:rPr>
                <w:rFonts w:eastAsia="Myriad Pro" w:cs="Myriad Pro"/>
              </w:rPr>
            </w:pPr>
          </w:p>
        </w:tc>
      </w:tr>
    </w:tbl>
    <w:p w14:paraId="61092135" w14:textId="77777777" w:rsidR="00947026" w:rsidRPr="00D13EB8" w:rsidRDefault="00947026" w:rsidP="00947026">
      <w:pPr>
        <w:tabs>
          <w:tab w:val="left" w:pos="580"/>
        </w:tabs>
      </w:pPr>
    </w:p>
    <w:p w14:paraId="364BE338" w14:textId="77777777" w:rsidR="00947026" w:rsidRPr="00D13EB8" w:rsidRDefault="00947026" w:rsidP="00947026">
      <w:pPr>
        <w:spacing w:after="160" w:line="259" w:lineRule="auto"/>
        <w:jc w:val="left"/>
      </w:pPr>
      <w:r w:rsidRPr="00D13EB8">
        <w:br w:type="page"/>
      </w: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left w:w="0" w:type="dxa"/>
          <w:bottom w:w="113" w:type="dxa"/>
          <w:right w:w="0" w:type="dxa"/>
        </w:tblCellMar>
        <w:tblLook w:val="04A0" w:firstRow="1" w:lastRow="0" w:firstColumn="1" w:lastColumn="0" w:noHBand="0" w:noVBand="1"/>
      </w:tblPr>
      <w:tblGrid>
        <w:gridCol w:w="4982"/>
        <w:gridCol w:w="1676"/>
        <w:gridCol w:w="2981"/>
      </w:tblGrid>
      <w:tr w:rsidR="00947026" w:rsidRPr="00D13EB8" w14:paraId="4FAC4D78" w14:textId="77777777" w:rsidTr="000C5EC7">
        <w:trPr>
          <w:trHeight w:val="207"/>
        </w:trPr>
        <w:tc>
          <w:tcPr>
            <w:tcW w:w="6658" w:type="dxa"/>
            <w:gridSpan w:val="2"/>
            <w:tcBorders>
              <w:bottom w:val="single" w:sz="4" w:space="0" w:color="auto"/>
            </w:tcBorders>
            <w:tcMar>
              <w:left w:w="0" w:type="dxa"/>
            </w:tcMar>
          </w:tcPr>
          <w:p w14:paraId="1858A394" w14:textId="77777777" w:rsidR="00947026" w:rsidRPr="00D13EB8" w:rsidRDefault="00947026" w:rsidP="000C5EC7">
            <w:pPr>
              <w:pStyle w:val="Naslov31"/>
              <w:jc w:val="left"/>
            </w:pPr>
            <w:r w:rsidRPr="00D13EB8">
              <w:lastRenderedPageBreak/>
              <w:t xml:space="preserve">Slovenian industrial producer prices, January 2023 </w:t>
            </w:r>
          </w:p>
        </w:tc>
        <w:tc>
          <w:tcPr>
            <w:tcW w:w="2981" w:type="dxa"/>
            <w:tcBorders>
              <w:bottom w:val="single" w:sz="4" w:space="0" w:color="auto"/>
            </w:tcBorders>
          </w:tcPr>
          <w:p w14:paraId="1B881C24" w14:textId="77777777" w:rsidR="00947026" w:rsidRPr="00D13EB8" w:rsidRDefault="00947026" w:rsidP="000C5EC7">
            <w:pPr>
              <w:pStyle w:val="Naslov31"/>
            </w:pPr>
          </w:p>
        </w:tc>
      </w:tr>
      <w:tr w:rsidR="007808DC" w:rsidRPr="00D13EB8" w14:paraId="3911858A" w14:textId="77777777" w:rsidTr="000C5EC7">
        <w:trPr>
          <w:trHeight w:val="1134"/>
        </w:trPr>
        <w:tc>
          <w:tcPr>
            <w:tcW w:w="4982" w:type="dxa"/>
            <w:tcBorders>
              <w:top w:val="single" w:sz="4" w:space="0" w:color="auto"/>
            </w:tcBorders>
            <w:tcMar>
              <w:left w:w="0" w:type="dxa"/>
            </w:tcMar>
          </w:tcPr>
          <w:p w14:paraId="2024DDDF" w14:textId="78C9CF34" w:rsidR="007808DC" w:rsidRPr="00D13EB8" w:rsidRDefault="007808DC" w:rsidP="007808DC">
            <w:pPr>
              <w:pStyle w:val="ListParagraph"/>
              <w:ind w:left="0"/>
            </w:pPr>
            <w:r w:rsidRPr="00D13EB8">
              <w:rPr>
                <w:noProof/>
              </w:rPr>
              <w:drawing>
                <wp:inline distT="0" distB="0" distL="0" distR="0" wp14:anchorId="3892E45E" wp14:editId="711EF519">
                  <wp:extent cx="3081600" cy="2534400"/>
                  <wp:effectExtent l="0" t="0" r="5080" b="0"/>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81600" cy="2534400"/>
                          </a:xfrm>
                          <a:prstGeom prst="rect">
                            <a:avLst/>
                          </a:prstGeom>
                          <a:noFill/>
                        </pic:spPr>
                      </pic:pic>
                    </a:graphicData>
                  </a:graphic>
                </wp:inline>
              </w:drawing>
            </w:r>
          </w:p>
        </w:tc>
        <w:tc>
          <w:tcPr>
            <w:tcW w:w="4657" w:type="dxa"/>
            <w:gridSpan w:val="2"/>
            <w:tcBorders>
              <w:top w:val="single" w:sz="4" w:space="0" w:color="auto"/>
            </w:tcBorders>
            <w:tcMar>
              <w:left w:w="284" w:type="dxa"/>
            </w:tcMar>
          </w:tcPr>
          <w:p w14:paraId="75EFF00C" w14:textId="425F4B94" w:rsidR="007808DC" w:rsidRPr="00D13EB8" w:rsidRDefault="007808DC" w:rsidP="007808DC">
            <w:r w:rsidRPr="00D13EB8">
              <w:rPr>
                <w:b/>
                <w:bCs/>
              </w:rPr>
              <w:t>The year-on-year growth of Slovenian industrial producer prices continued to gradually weaken at the beginning of the year and stood at 18.2% in January.</w:t>
            </w:r>
            <w:r w:rsidRPr="00D13EB8">
              <w:t xml:space="preserve"> The slowdown was entirely due to last year’s high base, as prices rose by 1.2% month-on-month (prices of products increased in all industrial groups). This was the highest monthly increase since August 2022 and, in our estimation, was due to the conclusion of new business contracts at the beginning of the year. Price growth slowed year-on-year in both domestic (22.1%) and foreign markets (14.3%). Price growth in the groups intermediate goods (17.4%) and capital goods (9.4%) continues to weaken. Growth in the prices of energy (79.2%) and consumer goods (14.3%) remained broadly unchanged. </w:t>
            </w:r>
          </w:p>
          <w:p w14:paraId="2B9CCA81" w14:textId="77777777" w:rsidR="007808DC" w:rsidRPr="00D13EB8" w:rsidRDefault="007808DC" w:rsidP="007808DC">
            <w:pPr>
              <w:rPr>
                <w:rStyle w:val="normaltextrun"/>
                <w:b/>
                <w:bCs/>
                <w:color w:val="000000" w:themeColor="text1"/>
              </w:rPr>
            </w:pPr>
          </w:p>
        </w:tc>
      </w:tr>
    </w:tbl>
    <w:p w14:paraId="703CCE54" w14:textId="77777777" w:rsidR="00947026" w:rsidRPr="00D13EB8" w:rsidRDefault="00947026" w:rsidP="00947026">
      <w:pPr>
        <w:spacing w:after="160" w:line="259" w:lineRule="auto"/>
        <w:jc w:val="left"/>
      </w:pPr>
    </w:p>
    <w:p w14:paraId="67C46C7E" w14:textId="77777777" w:rsidR="00947026" w:rsidRPr="00D13EB8" w:rsidRDefault="00947026" w:rsidP="00947026">
      <w:pPr>
        <w:spacing w:after="160" w:line="259" w:lineRule="auto"/>
        <w:jc w:val="left"/>
      </w:pPr>
    </w:p>
    <w:p w14:paraId="758300E7" w14:textId="77777777" w:rsidR="00947026" w:rsidRPr="00D13EB8" w:rsidRDefault="00947026" w:rsidP="00947026">
      <w:pPr>
        <w:spacing w:after="160" w:line="259" w:lineRule="auto"/>
        <w:jc w:val="left"/>
      </w:pPr>
    </w:p>
    <w:p w14:paraId="3DC683AC" w14:textId="77777777" w:rsidR="00947026" w:rsidRPr="00D13EB8" w:rsidRDefault="00947026" w:rsidP="00947026">
      <w:pPr>
        <w:tabs>
          <w:tab w:val="left" w:pos="580"/>
        </w:tabs>
      </w:pPr>
    </w:p>
    <w:p w14:paraId="03B62ABD" w14:textId="77777777" w:rsidR="00947026" w:rsidRPr="00D13EB8" w:rsidRDefault="00947026" w:rsidP="00947026">
      <w:pPr>
        <w:spacing w:after="160" w:line="259" w:lineRule="auto"/>
        <w:jc w:val="left"/>
      </w:pPr>
    </w:p>
    <w:tbl>
      <w:tblPr>
        <w:tblStyle w:val="TableGrid"/>
        <w:tblW w:w="96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left w:w="0" w:type="dxa"/>
          <w:bottom w:w="113" w:type="dxa"/>
          <w:right w:w="0" w:type="dxa"/>
        </w:tblCellMar>
        <w:tblLook w:val="04A0" w:firstRow="1" w:lastRow="0" w:firstColumn="1" w:lastColumn="0" w:noHBand="0" w:noVBand="1"/>
      </w:tblPr>
      <w:tblGrid>
        <w:gridCol w:w="4985"/>
        <w:gridCol w:w="1115"/>
        <w:gridCol w:w="3545"/>
      </w:tblGrid>
      <w:tr w:rsidR="00947026" w:rsidRPr="00D13EB8" w14:paraId="1749863C" w14:textId="77777777" w:rsidTr="007808DC">
        <w:trPr>
          <w:trHeight w:val="207"/>
        </w:trPr>
        <w:tc>
          <w:tcPr>
            <w:tcW w:w="6100" w:type="dxa"/>
            <w:gridSpan w:val="2"/>
            <w:tcBorders>
              <w:top w:val="nil"/>
              <w:left w:val="nil"/>
              <w:bottom w:val="single" w:sz="4" w:space="0" w:color="auto"/>
              <w:right w:val="nil"/>
            </w:tcBorders>
            <w:hideMark/>
          </w:tcPr>
          <w:p w14:paraId="7E92528C" w14:textId="77777777" w:rsidR="00947026" w:rsidRPr="00D13EB8" w:rsidRDefault="00947026" w:rsidP="000C5EC7">
            <w:pPr>
              <w:pStyle w:val="Naslov31"/>
              <w:jc w:val="left"/>
            </w:pPr>
            <w:r w:rsidRPr="00D13EB8">
              <w:t xml:space="preserve">Economic sentiment, February 2023 </w:t>
            </w:r>
          </w:p>
        </w:tc>
        <w:tc>
          <w:tcPr>
            <w:tcW w:w="3545" w:type="dxa"/>
            <w:tcBorders>
              <w:top w:val="nil"/>
              <w:left w:val="nil"/>
              <w:bottom w:val="single" w:sz="4" w:space="0" w:color="auto"/>
              <w:right w:val="nil"/>
            </w:tcBorders>
          </w:tcPr>
          <w:p w14:paraId="4E75C669" w14:textId="77777777" w:rsidR="00947026" w:rsidRPr="00D13EB8" w:rsidRDefault="00947026" w:rsidP="000C5EC7">
            <w:pPr>
              <w:pStyle w:val="Naslov31"/>
            </w:pPr>
          </w:p>
        </w:tc>
      </w:tr>
      <w:tr w:rsidR="007808DC" w:rsidRPr="00D13EB8" w14:paraId="04E27664" w14:textId="77777777" w:rsidTr="007808DC">
        <w:trPr>
          <w:trHeight w:val="1134"/>
        </w:trPr>
        <w:tc>
          <w:tcPr>
            <w:tcW w:w="4985" w:type="dxa"/>
            <w:tcBorders>
              <w:top w:val="single" w:sz="4" w:space="0" w:color="auto"/>
              <w:left w:val="nil"/>
              <w:bottom w:val="nil"/>
              <w:right w:val="nil"/>
            </w:tcBorders>
            <w:hideMark/>
          </w:tcPr>
          <w:p w14:paraId="7AAF6856" w14:textId="10792D91" w:rsidR="007808DC" w:rsidRPr="00D13EB8" w:rsidRDefault="007808DC" w:rsidP="007808DC">
            <w:pPr>
              <w:pStyle w:val="ListParagraph"/>
              <w:ind w:left="0"/>
            </w:pPr>
            <w:r w:rsidRPr="00D13EB8">
              <w:rPr>
                <w:noProof/>
              </w:rPr>
              <w:drawing>
                <wp:inline distT="0" distB="0" distL="0" distR="0" wp14:anchorId="1FE09F39" wp14:editId="13D5CEDF">
                  <wp:extent cx="3139200" cy="2430000"/>
                  <wp:effectExtent l="0" t="0" r="4445" b="889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39200" cy="2430000"/>
                          </a:xfrm>
                          <a:prstGeom prst="rect">
                            <a:avLst/>
                          </a:prstGeom>
                          <a:noFill/>
                        </pic:spPr>
                      </pic:pic>
                    </a:graphicData>
                  </a:graphic>
                </wp:inline>
              </w:drawing>
            </w:r>
          </w:p>
        </w:tc>
        <w:tc>
          <w:tcPr>
            <w:tcW w:w="4660" w:type="dxa"/>
            <w:gridSpan w:val="2"/>
            <w:tcBorders>
              <w:top w:val="single" w:sz="4" w:space="0" w:color="auto"/>
              <w:left w:val="nil"/>
              <w:bottom w:val="nil"/>
              <w:right w:val="nil"/>
            </w:tcBorders>
            <w:tcMar>
              <w:top w:w="113" w:type="dxa"/>
              <w:left w:w="284" w:type="dxa"/>
              <w:bottom w:w="113" w:type="dxa"/>
              <w:right w:w="0" w:type="dxa"/>
            </w:tcMar>
          </w:tcPr>
          <w:p w14:paraId="41680E6B" w14:textId="157856F9" w:rsidR="007808DC" w:rsidRPr="00D13EB8" w:rsidRDefault="007808DC" w:rsidP="007808DC">
            <w:pPr>
              <w:rPr>
                <w:rFonts w:eastAsia="Myriad Pro" w:cs="Myriad Pro"/>
                <w:vanish/>
                <w:specVanish/>
              </w:rPr>
            </w:pPr>
            <w:r w:rsidRPr="00D13EB8">
              <w:rPr>
                <w:b/>
                <w:bCs/>
              </w:rPr>
              <w:t>The economic sentiment indicator remained broadly unchanged in February compared to January (-0.2 p.p.), while it was almost 8 p.p. lower year-on-year.</w:t>
            </w:r>
            <w:r w:rsidRPr="00D13EB8">
              <w:t xml:space="preserve"> Month-on-month, confidence fell slightly in manufacturing, retail trade and construction, while it rose among consumers and in services. Compared to February last year, confidence was lower among consumers, in manufacturing and construction. Lower consumer confidence is mainly related to the loss in the purchasing power due to high inflation and greater caution when deciding to make major purchases. Confidence in manufacturing is affected mainly by the current international environment (i.e. high commodity and energy prices and subdued expectations regarding future production and exports). Confidence in trade and services was slightly higher year-on-year due to last year’s peak of the COVID-19 epidemic in January–February and the operating restrictions in these sectors (recovered/vaccinated/tested rule, restrictions on opening hours, etc.).</w:t>
            </w:r>
          </w:p>
          <w:p w14:paraId="1BCF9060" w14:textId="77777777" w:rsidR="007808DC" w:rsidRPr="00D13EB8" w:rsidRDefault="007808DC" w:rsidP="007808DC">
            <w:pPr>
              <w:rPr>
                <w:rFonts w:eastAsia="Myriad Pro" w:cs="Myriad Pro"/>
              </w:rPr>
            </w:pPr>
          </w:p>
        </w:tc>
      </w:tr>
    </w:tbl>
    <w:p w14:paraId="7EE480B0" w14:textId="77777777" w:rsidR="00947026" w:rsidRPr="00D13EB8" w:rsidRDefault="00947026" w:rsidP="00947026">
      <w:pPr>
        <w:spacing w:after="160" w:line="256" w:lineRule="auto"/>
        <w:jc w:val="left"/>
      </w:pPr>
    </w:p>
    <w:p w14:paraId="1F29E024" w14:textId="77777777" w:rsidR="00947026" w:rsidRPr="00D13EB8" w:rsidRDefault="00947026" w:rsidP="00947026">
      <w:pPr>
        <w:spacing w:after="160" w:line="259" w:lineRule="auto"/>
        <w:jc w:val="left"/>
      </w:pPr>
    </w:p>
    <w:p w14:paraId="248896D4" w14:textId="77777777" w:rsidR="00947026" w:rsidRPr="00D13EB8" w:rsidRDefault="00947026" w:rsidP="00947026">
      <w:pPr>
        <w:spacing w:after="160" w:line="259" w:lineRule="auto"/>
        <w:jc w:val="left"/>
      </w:pPr>
      <w:r w:rsidRPr="00D13EB8">
        <w:br w:type="page"/>
      </w:r>
    </w:p>
    <w:p w14:paraId="270EFD03" w14:textId="77777777" w:rsidR="00947026" w:rsidRPr="00D13EB8" w:rsidRDefault="00947026" w:rsidP="00947026">
      <w:pPr>
        <w:spacing w:after="160" w:line="259" w:lineRule="auto"/>
        <w:jc w:val="left"/>
      </w:pPr>
    </w:p>
    <w:tbl>
      <w:tblPr>
        <w:tblStyle w:val="TableGrid"/>
        <w:tblW w:w="96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left w:w="0" w:type="dxa"/>
          <w:bottom w:w="113" w:type="dxa"/>
          <w:right w:w="0" w:type="dxa"/>
        </w:tblCellMar>
        <w:tblLook w:val="04A0" w:firstRow="1" w:lastRow="0" w:firstColumn="1" w:lastColumn="0" w:noHBand="0" w:noVBand="1"/>
      </w:tblPr>
      <w:tblGrid>
        <w:gridCol w:w="4985"/>
        <w:gridCol w:w="1819"/>
        <w:gridCol w:w="2841"/>
      </w:tblGrid>
      <w:tr w:rsidR="00947026" w:rsidRPr="00D13EB8" w14:paraId="7AD3BDB3" w14:textId="77777777" w:rsidTr="000C5EC7">
        <w:trPr>
          <w:trHeight w:val="207"/>
        </w:trPr>
        <w:tc>
          <w:tcPr>
            <w:tcW w:w="6804" w:type="dxa"/>
            <w:gridSpan w:val="2"/>
            <w:tcBorders>
              <w:top w:val="nil"/>
              <w:left w:val="nil"/>
              <w:bottom w:val="single" w:sz="4" w:space="0" w:color="auto"/>
              <w:right w:val="nil"/>
            </w:tcBorders>
            <w:hideMark/>
          </w:tcPr>
          <w:p w14:paraId="050D2633" w14:textId="77777777" w:rsidR="00947026" w:rsidRPr="00D13EB8" w:rsidRDefault="00947026" w:rsidP="000C5EC7">
            <w:pPr>
              <w:pStyle w:val="Naslov31"/>
              <w:jc w:val="left"/>
            </w:pPr>
            <w:r w:rsidRPr="00D13EB8">
              <w:t xml:space="preserve">Value of fiscally verified invoices, in nominal terms, 5–18 February 2023 </w:t>
            </w:r>
          </w:p>
        </w:tc>
        <w:tc>
          <w:tcPr>
            <w:tcW w:w="2841" w:type="dxa"/>
            <w:tcBorders>
              <w:top w:val="nil"/>
              <w:left w:val="nil"/>
              <w:bottom w:val="single" w:sz="4" w:space="0" w:color="auto"/>
              <w:right w:val="nil"/>
            </w:tcBorders>
          </w:tcPr>
          <w:p w14:paraId="647F184A" w14:textId="27310E6D" w:rsidR="00947026" w:rsidRPr="00D13EB8" w:rsidRDefault="00947026" w:rsidP="000C5EC7">
            <w:pPr>
              <w:pStyle w:val="Naslov31"/>
            </w:pPr>
          </w:p>
        </w:tc>
      </w:tr>
      <w:tr w:rsidR="007808DC" w:rsidRPr="00D13EB8" w14:paraId="781BDFD4" w14:textId="77777777" w:rsidTr="000C5EC7">
        <w:trPr>
          <w:trHeight w:val="1134"/>
        </w:trPr>
        <w:tc>
          <w:tcPr>
            <w:tcW w:w="4985" w:type="dxa"/>
            <w:tcBorders>
              <w:top w:val="single" w:sz="4" w:space="0" w:color="auto"/>
              <w:left w:val="nil"/>
              <w:bottom w:val="nil"/>
              <w:right w:val="nil"/>
            </w:tcBorders>
            <w:hideMark/>
          </w:tcPr>
          <w:p w14:paraId="5F6D458D" w14:textId="6609DF23" w:rsidR="000802B9" w:rsidRDefault="000802B9" w:rsidP="007808DC">
            <w:pPr>
              <w:pStyle w:val="ListParagraph"/>
              <w:ind w:left="0"/>
            </w:pPr>
            <w:r>
              <w:rPr>
                <w:noProof/>
              </w:rPr>
              <w:drawing>
                <wp:inline distT="0" distB="0" distL="0" distR="0" wp14:anchorId="4CDE4342" wp14:editId="6DC0ED8B">
                  <wp:extent cx="3085200" cy="2577600"/>
                  <wp:effectExtent l="0" t="0" r="127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85200" cy="2577600"/>
                          </a:xfrm>
                          <a:prstGeom prst="rect">
                            <a:avLst/>
                          </a:prstGeom>
                          <a:noFill/>
                        </pic:spPr>
                      </pic:pic>
                    </a:graphicData>
                  </a:graphic>
                </wp:inline>
              </w:drawing>
            </w:r>
          </w:p>
          <w:p w14:paraId="28216EAB" w14:textId="1D65CFBB" w:rsidR="007808DC" w:rsidRPr="00D13EB8" w:rsidRDefault="007808DC" w:rsidP="007808DC">
            <w:pPr>
              <w:pStyle w:val="ListParagraph"/>
              <w:ind w:left="0"/>
            </w:pPr>
          </w:p>
        </w:tc>
        <w:tc>
          <w:tcPr>
            <w:tcW w:w="4660" w:type="dxa"/>
            <w:gridSpan w:val="2"/>
            <w:tcBorders>
              <w:top w:val="single" w:sz="4" w:space="0" w:color="auto"/>
              <w:left w:val="nil"/>
              <w:bottom w:val="nil"/>
              <w:right w:val="nil"/>
            </w:tcBorders>
            <w:tcMar>
              <w:top w:w="113" w:type="dxa"/>
              <w:left w:w="284" w:type="dxa"/>
              <w:bottom w:w="113" w:type="dxa"/>
              <w:right w:w="0" w:type="dxa"/>
            </w:tcMar>
          </w:tcPr>
          <w:p w14:paraId="3ED895C4" w14:textId="77777777" w:rsidR="007808DC" w:rsidRPr="00D13EB8" w:rsidRDefault="007808DC" w:rsidP="007808DC">
            <w:pPr>
              <w:rPr>
                <w:rFonts w:eastAsia="Myriad Pro" w:cs="Myriad Pro"/>
                <w:vanish/>
                <w:color w:val="000000" w:themeColor="text1"/>
                <w:specVanish/>
              </w:rPr>
            </w:pPr>
            <w:r w:rsidRPr="00D13EB8">
              <w:rPr>
                <w:b/>
                <w:color w:val="000000" w:themeColor="text1"/>
              </w:rPr>
              <w:t xml:space="preserve">Amid high price growth, the nominal value of fiscally verified invoices between 5 and 18 February 2023 was 14% higher year-on-year. </w:t>
            </w:r>
            <w:r w:rsidRPr="00D13EB8">
              <w:rPr>
                <w:color w:val="000000" w:themeColor="text1"/>
              </w:rPr>
              <w:t>In trade (11% overall year-on-year growth), growth in the sale of motor vehicles weakened significantly (to 11%) after recording high growth at the beginning of the year, while growth in retail and wholesale trade remained largely unchanged from the end of last year (just over 10%). Nominal turnover growth remained high, although slightly lower month-on-month in accommodation and food services (31%), certain creative, arts, entertainment, and sports services and betting and gambling (total growth in other service activities</w:t>
            </w:r>
            <w:r w:rsidRPr="00D13EB8">
              <w:rPr>
                <w:rStyle w:val="FootnoteReference"/>
                <w:rFonts w:eastAsia="Myriad Pro" w:cs="Myriad Pro"/>
                <w:color w:val="000000" w:themeColor="text1"/>
              </w:rPr>
              <w:footnoteReference w:id="2"/>
            </w:r>
            <w:r w:rsidRPr="00D13EB8">
              <w:rPr>
                <w:color w:val="000000" w:themeColor="text1"/>
              </w:rPr>
              <w:t xml:space="preserve"> was 40%).</w:t>
            </w:r>
            <w:r w:rsidRPr="00D13EB8">
              <w:rPr>
                <w:rFonts w:eastAsia="Myriad Pro" w:cs="Myriad Pro"/>
                <w:color w:val="000000" w:themeColor="text1"/>
                <w:vertAlign w:val="superscript"/>
              </w:rPr>
              <w:footnoteReference w:id="3"/>
            </w:r>
          </w:p>
          <w:p w14:paraId="701887BA" w14:textId="77777777" w:rsidR="007808DC" w:rsidRPr="00D13EB8" w:rsidRDefault="007808DC" w:rsidP="007808DC">
            <w:pPr>
              <w:rPr>
                <w:rStyle w:val="normaltextrun"/>
                <w:b/>
                <w:bCs/>
                <w:color w:val="000000" w:themeColor="text1"/>
              </w:rPr>
            </w:pPr>
          </w:p>
        </w:tc>
      </w:tr>
    </w:tbl>
    <w:p w14:paraId="6066D28E" w14:textId="77777777" w:rsidR="00947026" w:rsidRPr="00D13EB8" w:rsidRDefault="00947026" w:rsidP="00947026">
      <w:pPr>
        <w:tabs>
          <w:tab w:val="left" w:pos="580"/>
        </w:tabs>
      </w:pPr>
    </w:p>
    <w:p w14:paraId="63A88C3E" w14:textId="77777777" w:rsidR="00947026" w:rsidRPr="00D13EB8" w:rsidRDefault="00947026" w:rsidP="00947026">
      <w:pPr>
        <w:tabs>
          <w:tab w:val="left" w:pos="580"/>
        </w:tabs>
      </w:pPr>
    </w:p>
    <w:p w14:paraId="124687A3" w14:textId="77777777" w:rsidR="009C3DB0" w:rsidRPr="00D13EB8" w:rsidRDefault="009C3DB0" w:rsidP="009C3DB0">
      <w:pPr>
        <w:tabs>
          <w:tab w:val="left" w:pos="580"/>
        </w:tabs>
      </w:pPr>
    </w:p>
    <w:p w14:paraId="22475C0D" w14:textId="77777777" w:rsidR="00FE7254" w:rsidRPr="00D13EB8" w:rsidRDefault="00FE7254" w:rsidP="00FE7254">
      <w:pPr>
        <w:sectPr w:rsidR="00FE7254" w:rsidRPr="00D13EB8" w:rsidSect="00363E63">
          <w:footerReference w:type="default" r:id="rId12"/>
          <w:headerReference w:type="first" r:id="rId13"/>
          <w:footerReference w:type="first" r:id="rId14"/>
          <w:type w:val="continuous"/>
          <w:pgSz w:w="11906" w:h="16838"/>
          <w:pgMar w:top="1134" w:right="1134" w:bottom="1021" w:left="1134" w:header="709" w:footer="397" w:gutter="0"/>
          <w:cols w:space="708"/>
          <w:titlePg/>
          <w:docGrid w:linePitch="360"/>
        </w:sectPr>
      </w:pPr>
    </w:p>
    <w:p w14:paraId="26A312A6" w14:textId="582CC410" w:rsidR="002E69B6" w:rsidRPr="00D13EB8" w:rsidRDefault="00771EED" w:rsidP="00C26C8D">
      <w:pPr>
        <w:tabs>
          <w:tab w:val="left" w:pos="580"/>
        </w:tabs>
      </w:pPr>
      <w:r w:rsidRPr="00D13EB8">
        <w:rPr>
          <w:noProof/>
        </w:rPr>
        <w:lastRenderedPageBreak/>
        <w:drawing>
          <wp:inline distT="0" distB="0" distL="0" distR="0" wp14:anchorId="38B4D9D5" wp14:editId="61A8EA8B">
            <wp:extent cx="6120130" cy="8387041"/>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120130" cy="8387041"/>
                    </a:xfrm>
                    <a:prstGeom prst="rect">
                      <a:avLst/>
                    </a:prstGeom>
                    <a:noFill/>
                    <a:ln>
                      <a:noFill/>
                    </a:ln>
                  </pic:spPr>
                </pic:pic>
              </a:graphicData>
            </a:graphic>
          </wp:inline>
        </w:drawing>
      </w:r>
    </w:p>
    <w:sectPr w:rsidR="002E69B6" w:rsidRPr="00D13EB8" w:rsidSect="00363E63">
      <w:headerReference w:type="default" r:id="rId16"/>
      <w:footerReference w:type="default" r:id="rId17"/>
      <w:pgSz w:w="11906" w:h="16838"/>
      <w:pgMar w:top="1134" w:right="1134" w:bottom="1021" w:left="1134"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CF57C1" w14:textId="77777777" w:rsidR="004D35C3" w:rsidRDefault="004D35C3" w:rsidP="0063497B">
      <w:pPr>
        <w:spacing w:line="240" w:lineRule="auto"/>
      </w:pPr>
      <w:r>
        <w:separator/>
      </w:r>
    </w:p>
  </w:endnote>
  <w:endnote w:type="continuationSeparator" w:id="0">
    <w:p w14:paraId="7B1288C7" w14:textId="77777777" w:rsidR="004D35C3" w:rsidRDefault="004D35C3" w:rsidP="0063497B">
      <w:pPr>
        <w:spacing w:line="240" w:lineRule="auto"/>
      </w:pPr>
      <w:r>
        <w:continuationSeparator/>
      </w:r>
    </w:p>
  </w:endnote>
  <w:endnote w:type="continuationNotice" w:id="1">
    <w:p w14:paraId="1920164E" w14:textId="77777777" w:rsidR="004D35C3" w:rsidRDefault="004D35C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yriad Pro">
    <w:panose1 w:val="020B0503030403020204"/>
    <w:charset w:val="00"/>
    <w:family w:val="swiss"/>
    <w:notTrueType/>
    <w:pitch w:val="variable"/>
    <w:sig w:usb0="A00002AF" w:usb1="5000204B" w:usb2="00000000" w:usb3="00000000" w:csb0="0000009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C8242D" w14:textId="532304C9" w:rsidR="009A0978" w:rsidRPr="00363E63" w:rsidRDefault="009A0978" w:rsidP="00363E63">
    <w:pPr>
      <w:pStyle w:val="Naslov31"/>
      <w:tabs>
        <w:tab w:val="right" w:pos="9638"/>
      </w:tabs>
      <w:jc w:val="left"/>
      <w:rPr>
        <w:b w:val="0"/>
        <w:sz w:val="18"/>
        <w:szCs w:val="18"/>
      </w:rPr>
    </w:pPr>
    <w:r>
      <w:rPr>
        <w:sz w:val="18"/>
      </w:rPr>
      <w:t>More information:</w:t>
    </w:r>
    <w:r>
      <w:rPr>
        <w:rStyle w:val="Naslov3Char"/>
        <w:b/>
        <w:sz w:val="18"/>
      </w:rPr>
      <w:t xml:space="preserve"> </w:t>
    </w:r>
    <w:r>
      <w:rPr>
        <w:b w:val="0"/>
        <w:sz w:val="18"/>
      </w:rPr>
      <w:t xml:space="preserve">phone: +386 1 478 10 04, e-mail: </w:t>
    </w:r>
    <w:hyperlink r:id="rId1" w:history="1">
      <w:r>
        <w:rPr>
          <w:rStyle w:val="Hyperlink"/>
          <w:b w:val="0"/>
          <w:color w:val="auto"/>
          <w:sz w:val="18"/>
          <w:u w:val="none"/>
        </w:rPr>
        <w:t>polona.osrajnik@gov.si</w:t>
      </w:r>
    </w:hyperlink>
    <w:r>
      <w:rPr>
        <w:b w:val="0"/>
        <w:sz w:val="18"/>
      </w:rPr>
      <w:tab/>
    </w:r>
    <w:r>
      <w:rPr>
        <w:sz w:val="18"/>
      </w:rPr>
      <w:t xml:space="preserve"> </w:t>
    </w:r>
    <w:sdt>
      <w:sdtPr>
        <w:rPr>
          <w:sz w:val="18"/>
          <w:szCs w:val="18"/>
        </w:rPr>
        <w:id w:val="-652685202"/>
        <w:docPartObj>
          <w:docPartGallery w:val="Page Numbers (Bottom of Page)"/>
          <w:docPartUnique/>
        </w:docPartObj>
      </w:sdtPr>
      <w:sdtEndPr/>
      <w:sdtContent>
        <w:r w:rsidRPr="00363E63">
          <w:rPr>
            <w:sz w:val="18"/>
          </w:rPr>
          <w:fldChar w:fldCharType="begin"/>
        </w:r>
        <w:r w:rsidRPr="00363E63">
          <w:rPr>
            <w:sz w:val="18"/>
          </w:rPr>
          <w:instrText>PAGE   \* MERGEFORMAT</w:instrText>
        </w:r>
        <w:r w:rsidRPr="00363E63">
          <w:rPr>
            <w:sz w:val="18"/>
          </w:rPr>
          <w:fldChar w:fldCharType="separate"/>
        </w:r>
        <w:r>
          <w:rPr>
            <w:sz w:val="18"/>
          </w:rPr>
          <w:t>1</w:t>
        </w:r>
        <w:r w:rsidRPr="00363E63">
          <w:rPr>
            <w:sz w:val="18"/>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D29913" w14:textId="017B7F72" w:rsidR="009A0978" w:rsidRPr="00363E63" w:rsidRDefault="009A0978" w:rsidP="00363E63">
    <w:pPr>
      <w:pStyle w:val="Naslov31"/>
      <w:tabs>
        <w:tab w:val="right" w:pos="9638"/>
      </w:tabs>
      <w:jc w:val="left"/>
      <w:rPr>
        <w:b w:val="0"/>
        <w:sz w:val="18"/>
        <w:szCs w:val="18"/>
      </w:rPr>
    </w:pPr>
    <w:r>
      <w:rPr>
        <w:sz w:val="18"/>
      </w:rPr>
      <w:t>More information:</w:t>
    </w:r>
    <w:r>
      <w:rPr>
        <w:rStyle w:val="Naslov3Char"/>
        <w:b/>
        <w:sz w:val="18"/>
      </w:rPr>
      <w:t xml:space="preserve"> </w:t>
    </w:r>
    <w:r>
      <w:rPr>
        <w:b w:val="0"/>
        <w:sz w:val="18"/>
      </w:rPr>
      <w:t xml:space="preserve">phone: +386 1 478 10 04, e-mail: </w:t>
    </w:r>
    <w:hyperlink r:id="rId1" w:history="1">
      <w:r>
        <w:rPr>
          <w:rStyle w:val="Hyperlink"/>
          <w:b w:val="0"/>
          <w:color w:val="auto"/>
          <w:sz w:val="18"/>
          <w:u w:val="none"/>
        </w:rPr>
        <w:t>polona.osrajnik@gov.si</w:t>
      </w:r>
    </w:hyperlink>
    <w:r>
      <w:rPr>
        <w:b w:val="0"/>
        <w:sz w:val="18"/>
      </w:rPr>
      <w:tab/>
    </w:r>
    <w:r>
      <w:rPr>
        <w:sz w:val="18"/>
      </w:rPr>
      <w:t xml:space="preserve"> </w:t>
    </w:r>
    <w:sdt>
      <w:sdtPr>
        <w:rPr>
          <w:sz w:val="18"/>
          <w:szCs w:val="18"/>
        </w:rPr>
        <w:id w:val="-89402759"/>
        <w:docPartObj>
          <w:docPartGallery w:val="Page Numbers (Bottom of Page)"/>
          <w:docPartUnique/>
        </w:docPartObj>
      </w:sdtPr>
      <w:sdtEndPr/>
      <w:sdtContent>
        <w:r w:rsidRPr="00363E63">
          <w:rPr>
            <w:sz w:val="18"/>
          </w:rPr>
          <w:fldChar w:fldCharType="begin"/>
        </w:r>
        <w:r w:rsidRPr="00363E63">
          <w:rPr>
            <w:sz w:val="18"/>
          </w:rPr>
          <w:instrText>PAGE   \* MERGEFORMAT</w:instrText>
        </w:r>
        <w:r w:rsidRPr="00363E63">
          <w:rPr>
            <w:sz w:val="18"/>
          </w:rPr>
          <w:fldChar w:fldCharType="separate"/>
        </w:r>
        <w:r w:rsidRPr="00363E63">
          <w:rPr>
            <w:sz w:val="18"/>
          </w:rPr>
          <w:t>1</w:t>
        </w:r>
        <w:r w:rsidRPr="00363E63">
          <w:rPr>
            <w:sz w:val="18"/>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6DBB8D" w14:textId="77777777" w:rsidR="009A0978" w:rsidRPr="00C26C8D" w:rsidRDefault="009A0978" w:rsidP="00C26C8D">
    <w:pPr>
      <w:pStyle w:val="Naslov31"/>
      <w:tabs>
        <w:tab w:val="right" w:pos="9638"/>
      </w:tabs>
      <w:jc w:val="left"/>
      <w:rPr>
        <w:b w:val="0"/>
        <w:sz w:val="18"/>
        <w:szCs w:val="18"/>
      </w:rPr>
    </w:pPr>
    <w:r>
      <w:rPr>
        <w:b w:val="0"/>
        <w:sz w:val="18"/>
      </w:rPr>
      <w:t>The table format accessible to screen reader users can be found on the IMAD website among the appendices to the current graphs of the week (Selected macroeconomic indicators for Slovenia).</w:t>
    </w:r>
  </w:p>
  <w:p w14:paraId="67C0D3BB" w14:textId="77777777" w:rsidR="009A0978" w:rsidRPr="00C26C8D" w:rsidRDefault="009A0978" w:rsidP="00C26C8D">
    <w:pPr>
      <w:pStyle w:val="Naslov31"/>
      <w:tabs>
        <w:tab w:val="right" w:pos="9638"/>
      </w:tabs>
      <w:jc w:val="left"/>
      <w:rPr>
        <w:b w:val="0"/>
        <w:sz w:val="18"/>
        <w:szCs w:val="18"/>
      </w:rPr>
    </w:pPr>
  </w:p>
  <w:p w14:paraId="6B87A005" w14:textId="77777777" w:rsidR="009A0978" w:rsidRPr="00363E63" w:rsidRDefault="009A0978" w:rsidP="00C26C8D">
    <w:pPr>
      <w:pStyle w:val="Naslov31"/>
      <w:tabs>
        <w:tab w:val="right" w:pos="9638"/>
      </w:tabs>
      <w:jc w:val="left"/>
      <w:rPr>
        <w:b w:val="0"/>
        <w:sz w:val="18"/>
        <w:szCs w:val="18"/>
      </w:rPr>
    </w:pPr>
    <w:r>
      <w:rPr>
        <w:sz w:val="18"/>
      </w:rPr>
      <w:t xml:space="preserve">More information: </w:t>
    </w:r>
    <w:r>
      <w:rPr>
        <w:b w:val="0"/>
        <w:sz w:val="18"/>
      </w:rPr>
      <w:t>phone: +386 1 478 10 04, e-mail: polona.osrajnik@gov.si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547041" w14:textId="77777777" w:rsidR="004D35C3" w:rsidRDefault="004D35C3" w:rsidP="0063497B">
      <w:pPr>
        <w:spacing w:line="240" w:lineRule="auto"/>
      </w:pPr>
      <w:r>
        <w:separator/>
      </w:r>
    </w:p>
  </w:footnote>
  <w:footnote w:type="continuationSeparator" w:id="0">
    <w:p w14:paraId="45916EAA" w14:textId="77777777" w:rsidR="004D35C3" w:rsidRDefault="004D35C3" w:rsidP="0063497B">
      <w:pPr>
        <w:spacing w:line="240" w:lineRule="auto"/>
      </w:pPr>
      <w:r>
        <w:continuationSeparator/>
      </w:r>
    </w:p>
  </w:footnote>
  <w:footnote w:type="continuationNotice" w:id="1">
    <w:p w14:paraId="364055D8" w14:textId="77777777" w:rsidR="004D35C3" w:rsidRDefault="004D35C3">
      <w:pPr>
        <w:spacing w:line="240" w:lineRule="auto"/>
      </w:pPr>
    </w:p>
  </w:footnote>
  <w:footnote w:id="2">
    <w:p w14:paraId="15F6680E" w14:textId="77777777" w:rsidR="007808DC" w:rsidRDefault="007808DC">
      <w:pPr>
        <w:pStyle w:val="FootnoteText"/>
      </w:pPr>
      <w:r>
        <w:rPr>
          <w:rStyle w:val="FootnoteReference"/>
        </w:rPr>
        <w:footnoteRef/>
      </w:r>
      <w:r>
        <w:t xml:space="preserve"> RST services.</w:t>
      </w:r>
    </w:p>
  </w:footnote>
  <w:footnote w:id="3">
    <w:p w14:paraId="2902B17C" w14:textId="06F4AA65" w:rsidR="007808DC" w:rsidRPr="00164AA3" w:rsidRDefault="007808DC" w:rsidP="0966D876">
      <w:pPr>
        <w:pStyle w:val="FootnoteText"/>
        <w:rPr>
          <w:rFonts w:eastAsia="Myriad Pro" w:cs="Myriad Pro"/>
          <w:color w:val="000000" w:themeColor="text1"/>
        </w:rPr>
      </w:pPr>
      <w:r>
        <w:rPr>
          <w:rStyle w:val="FootnoteReference"/>
        </w:rPr>
        <w:footnoteRef/>
      </w:r>
      <w:r w:rsidR="00D77BBD">
        <w:t xml:space="preserve"> </w:t>
      </w:r>
      <w:bookmarkStart w:id="0" w:name="_GoBack"/>
      <w:bookmarkEnd w:id="0"/>
      <w:r>
        <w:t>This was also due to the low base, which was due to the tightening of containment measures in November 2021 after the recovered/vaccinated/tested rule was extended to users of most services in September.</w:t>
      </w:r>
      <w:r>
        <w:rPr>
          <w:color w:val="000000" w:themeColor="text1"/>
        </w:rPr>
        <w:t xml:space="preserve"> The opening hours of hotels and restaurants were restricted, nightclubs, bars and other venues offering music were closed, gatherings were restricted, proof of compliance with the vaccinated/tested/recovered rule was required in combination with an identity document, etc.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10A66C" w14:textId="421C0E67" w:rsidR="009A0978" w:rsidRDefault="009A0978" w:rsidP="00652795">
    <w:pPr>
      <w:jc w:val="right"/>
    </w:pPr>
    <w:r>
      <w:rPr>
        <w:noProof/>
      </w:rPr>
      <w:drawing>
        <wp:anchor distT="0" distB="0" distL="114300" distR="114300" simplePos="0" relativeHeight="251658240" behindDoc="0" locked="0" layoutInCell="1" allowOverlap="1" wp14:anchorId="254C5F65" wp14:editId="4ADD8BF1">
          <wp:simplePos x="0" y="0"/>
          <wp:positionH relativeFrom="column">
            <wp:posOffset>-313690</wp:posOffset>
          </wp:positionH>
          <wp:positionV relativeFrom="paragraph">
            <wp:posOffset>60960</wp:posOffset>
          </wp:positionV>
          <wp:extent cx="1155700" cy="1002030"/>
          <wp:effectExtent l="0" t="0" r="6350" b="7620"/>
          <wp:wrapTopAndBottom/>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UMAR logo"/>
                  <pic:cNvPicPr/>
                </pic:nvPicPr>
                <pic:blipFill>
                  <a:blip r:embed="rId1">
                    <a:extLst>
                      <a:ext uri="{28A0092B-C50C-407E-A947-70E740481C1C}">
                        <a14:useLocalDpi xmlns:a14="http://schemas.microsoft.com/office/drawing/2010/main" val="0"/>
                      </a:ext>
                    </a:extLst>
                  </a:blip>
                  <a:stretch>
                    <a:fillRect/>
                  </a:stretch>
                </pic:blipFill>
                <pic:spPr>
                  <a:xfrm>
                    <a:off x="0" y="0"/>
                    <a:ext cx="1155700" cy="1002030"/>
                  </a:xfrm>
                  <a:prstGeom prst="rect">
                    <a:avLst/>
                  </a:prstGeom>
                </pic:spPr>
              </pic:pic>
            </a:graphicData>
          </a:graphic>
          <wp14:sizeRelH relativeFrom="margin">
            <wp14:pctWidth>0</wp14:pctWidth>
          </wp14:sizeRelH>
          <wp14:sizeRelV relativeFrom="margin">
            <wp14:pctHeight>0</wp14:pctHeight>
          </wp14:sizeRelV>
        </wp:anchor>
      </w:drawing>
    </w:r>
    <w:r>
      <w:t>27 February 2023</w:t>
    </w:r>
  </w:p>
  <w:p w14:paraId="4BCD6FCD" w14:textId="77777777" w:rsidR="009A0978" w:rsidRDefault="009A0978" w:rsidP="00FE7254">
    <w:pPr>
      <w:jc w:val="right"/>
    </w:pPr>
  </w:p>
  <w:p w14:paraId="2346E65D" w14:textId="77777777" w:rsidR="009A0978" w:rsidRDefault="009A0978" w:rsidP="00FE7254">
    <w:pPr>
      <w:jc w:val="right"/>
    </w:pPr>
  </w:p>
  <w:p w14:paraId="72003DEC" w14:textId="77777777" w:rsidR="009A0978" w:rsidRDefault="009A0978" w:rsidP="00FE7254">
    <w:pP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00F943" w14:textId="77777777" w:rsidR="009A0978" w:rsidRPr="00C26C8D" w:rsidRDefault="009A0978" w:rsidP="00C26C8D">
    <w:pPr>
      <w:pStyle w:val="Header"/>
      <w:rPr>
        <w:b/>
      </w:rPr>
    </w:pPr>
    <w:r>
      <w:rPr>
        <w:b/>
      </w:rPr>
      <w:t>Table: Selected macroeconomic indicators for Slovenia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F54D5F"/>
    <w:multiLevelType w:val="hybridMultilevel"/>
    <w:tmpl w:val="20862290"/>
    <w:lvl w:ilvl="0" w:tplc="63DA2180">
      <w:start w:val="1"/>
      <w:numFmt w:val="bullet"/>
      <w:pStyle w:val="Besedilomanjealineje"/>
      <w:lvlText w:val=""/>
      <w:lvlJc w:val="left"/>
      <w:pPr>
        <w:ind w:left="36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7B2C16DD"/>
    <w:multiLevelType w:val="hybridMultilevel"/>
    <w:tmpl w:val="56B4C2AA"/>
    <w:lvl w:ilvl="0" w:tplc="B0B23E72">
      <w:start w:val="1"/>
      <w:numFmt w:val="bullet"/>
      <w:lvlText w:val=""/>
      <w:lvlJc w:val="left"/>
      <w:pPr>
        <w:tabs>
          <w:tab w:val="num" w:pos="720"/>
        </w:tabs>
        <w:ind w:left="720" w:hanging="360"/>
      </w:pPr>
      <w:rPr>
        <w:rFonts w:ascii="Symbol" w:hAnsi="Symbol" w:hint="default"/>
      </w:rPr>
    </w:lvl>
    <w:lvl w:ilvl="1" w:tplc="A6BC04BE" w:tentative="1">
      <w:start w:val="1"/>
      <w:numFmt w:val="bullet"/>
      <w:lvlText w:val=""/>
      <w:lvlJc w:val="left"/>
      <w:pPr>
        <w:tabs>
          <w:tab w:val="num" w:pos="1440"/>
        </w:tabs>
        <w:ind w:left="1440" w:hanging="360"/>
      </w:pPr>
      <w:rPr>
        <w:rFonts w:ascii="Symbol" w:hAnsi="Symbol" w:hint="default"/>
      </w:rPr>
    </w:lvl>
    <w:lvl w:ilvl="2" w:tplc="3EA8379E" w:tentative="1">
      <w:start w:val="1"/>
      <w:numFmt w:val="bullet"/>
      <w:lvlText w:val=""/>
      <w:lvlJc w:val="left"/>
      <w:pPr>
        <w:tabs>
          <w:tab w:val="num" w:pos="2160"/>
        </w:tabs>
        <w:ind w:left="2160" w:hanging="360"/>
      </w:pPr>
      <w:rPr>
        <w:rFonts w:ascii="Symbol" w:hAnsi="Symbol" w:hint="default"/>
      </w:rPr>
    </w:lvl>
    <w:lvl w:ilvl="3" w:tplc="003E917A" w:tentative="1">
      <w:start w:val="1"/>
      <w:numFmt w:val="bullet"/>
      <w:lvlText w:val=""/>
      <w:lvlJc w:val="left"/>
      <w:pPr>
        <w:tabs>
          <w:tab w:val="num" w:pos="2880"/>
        </w:tabs>
        <w:ind w:left="2880" w:hanging="360"/>
      </w:pPr>
      <w:rPr>
        <w:rFonts w:ascii="Symbol" w:hAnsi="Symbol" w:hint="default"/>
      </w:rPr>
    </w:lvl>
    <w:lvl w:ilvl="4" w:tplc="7AD01B9C" w:tentative="1">
      <w:start w:val="1"/>
      <w:numFmt w:val="bullet"/>
      <w:lvlText w:val=""/>
      <w:lvlJc w:val="left"/>
      <w:pPr>
        <w:tabs>
          <w:tab w:val="num" w:pos="3600"/>
        </w:tabs>
        <w:ind w:left="3600" w:hanging="360"/>
      </w:pPr>
      <w:rPr>
        <w:rFonts w:ascii="Symbol" w:hAnsi="Symbol" w:hint="default"/>
      </w:rPr>
    </w:lvl>
    <w:lvl w:ilvl="5" w:tplc="AA26F350" w:tentative="1">
      <w:start w:val="1"/>
      <w:numFmt w:val="bullet"/>
      <w:lvlText w:val=""/>
      <w:lvlJc w:val="left"/>
      <w:pPr>
        <w:tabs>
          <w:tab w:val="num" w:pos="4320"/>
        </w:tabs>
        <w:ind w:left="4320" w:hanging="360"/>
      </w:pPr>
      <w:rPr>
        <w:rFonts w:ascii="Symbol" w:hAnsi="Symbol" w:hint="default"/>
      </w:rPr>
    </w:lvl>
    <w:lvl w:ilvl="6" w:tplc="0DE0C0C2" w:tentative="1">
      <w:start w:val="1"/>
      <w:numFmt w:val="bullet"/>
      <w:lvlText w:val=""/>
      <w:lvlJc w:val="left"/>
      <w:pPr>
        <w:tabs>
          <w:tab w:val="num" w:pos="5040"/>
        </w:tabs>
        <w:ind w:left="5040" w:hanging="360"/>
      </w:pPr>
      <w:rPr>
        <w:rFonts w:ascii="Symbol" w:hAnsi="Symbol" w:hint="default"/>
      </w:rPr>
    </w:lvl>
    <w:lvl w:ilvl="7" w:tplc="73E484B2" w:tentative="1">
      <w:start w:val="1"/>
      <w:numFmt w:val="bullet"/>
      <w:lvlText w:val=""/>
      <w:lvlJc w:val="left"/>
      <w:pPr>
        <w:tabs>
          <w:tab w:val="num" w:pos="5760"/>
        </w:tabs>
        <w:ind w:left="5760" w:hanging="360"/>
      </w:pPr>
      <w:rPr>
        <w:rFonts w:ascii="Symbol" w:hAnsi="Symbol" w:hint="default"/>
      </w:rPr>
    </w:lvl>
    <w:lvl w:ilvl="8" w:tplc="4094F1A8"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SpellingErrors/>
  <w:hideGrammaticalErrors/>
  <w:defaultTabStop w:val="170"/>
  <w:hyphenationZone w:val="425"/>
  <w:drawingGridHorizontalSpacing w:val="4933"/>
  <w:drawingGridVerticalSpacing w:val="3118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4C57"/>
    <w:rsid w:val="00001002"/>
    <w:rsid w:val="00004D56"/>
    <w:rsid w:val="00005E4B"/>
    <w:rsid w:val="00006CDC"/>
    <w:rsid w:val="00014A64"/>
    <w:rsid w:val="00016923"/>
    <w:rsid w:val="000172C1"/>
    <w:rsid w:val="00021B8C"/>
    <w:rsid w:val="00022B08"/>
    <w:rsid w:val="0002391A"/>
    <w:rsid w:val="00024EF0"/>
    <w:rsid w:val="000257A3"/>
    <w:rsid w:val="00026AAA"/>
    <w:rsid w:val="000403A8"/>
    <w:rsid w:val="000407E8"/>
    <w:rsid w:val="00041021"/>
    <w:rsid w:val="0004116E"/>
    <w:rsid w:val="000425EA"/>
    <w:rsid w:val="0004410D"/>
    <w:rsid w:val="0005322C"/>
    <w:rsid w:val="00054458"/>
    <w:rsid w:val="00054692"/>
    <w:rsid w:val="00055BD4"/>
    <w:rsid w:val="00060808"/>
    <w:rsid w:val="00061F03"/>
    <w:rsid w:val="00062E0D"/>
    <w:rsid w:val="00064E87"/>
    <w:rsid w:val="00065B72"/>
    <w:rsid w:val="00066060"/>
    <w:rsid w:val="00070313"/>
    <w:rsid w:val="000703C7"/>
    <w:rsid w:val="00070B6E"/>
    <w:rsid w:val="00071007"/>
    <w:rsid w:val="00073C2B"/>
    <w:rsid w:val="00077F13"/>
    <w:rsid w:val="000802B9"/>
    <w:rsid w:val="000802F5"/>
    <w:rsid w:val="00083B7F"/>
    <w:rsid w:val="00087E6A"/>
    <w:rsid w:val="00092592"/>
    <w:rsid w:val="00092E40"/>
    <w:rsid w:val="00093214"/>
    <w:rsid w:val="00096101"/>
    <w:rsid w:val="00097DD5"/>
    <w:rsid w:val="000A5A42"/>
    <w:rsid w:val="000A6A64"/>
    <w:rsid w:val="000A7BDC"/>
    <w:rsid w:val="000B2332"/>
    <w:rsid w:val="000B2627"/>
    <w:rsid w:val="000B5B96"/>
    <w:rsid w:val="000C450B"/>
    <w:rsid w:val="000C5DFC"/>
    <w:rsid w:val="000D3F8B"/>
    <w:rsid w:val="000D4661"/>
    <w:rsid w:val="000D7845"/>
    <w:rsid w:val="000E0B03"/>
    <w:rsid w:val="000E0C96"/>
    <w:rsid w:val="000F18E2"/>
    <w:rsid w:val="000F5315"/>
    <w:rsid w:val="00101E8B"/>
    <w:rsid w:val="00110B3C"/>
    <w:rsid w:val="00111DFE"/>
    <w:rsid w:val="00112B3E"/>
    <w:rsid w:val="00115501"/>
    <w:rsid w:val="00115E8D"/>
    <w:rsid w:val="00116668"/>
    <w:rsid w:val="00120162"/>
    <w:rsid w:val="00123A5A"/>
    <w:rsid w:val="00123D52"/>
    <w:rsid w:val="001255CD"/>
    <w:rsid w:val="0012725B"/>
    <w:rsid w:val="00127822"/>
    <w:rsid w:val="00133E20"/>
    <w:rsid w:val="0014161A"/>
    <w:rsid w:val="00150890"/>
    <w:rsid w:val="00150D0F"/>
    <w:rsid w:val="001557F1"/>
    <w:rsid w:val="0016111E"/>
    <w:rsid w:val="00161807"/>
    <w:rsid w:val="00162E99"/>
    <w:rsid w:val="00167096"/>
    <w:rsid w:val="00170703"/>
    <w:rsid w:val="00175B27"/>
    <w:rsid w:val="00176407"/>
    <w:rsid w:val="0018081D"/>
    <w:rsid w:val="00181CF5"/>
    <w:rsid w:val="00182319"/>
    <w:rsid w:val="001847BE"/>
    <w:rsid w:val="00187DC1"/>
    <w:rsid w:val="00190B5F"/>
    <w:rsid w:val="0019138D"/>
    <w:rsid w:val="00191F0E"/>
    <w:rsid w:val="00192B58"/>
    <w:rsid w:val="001A0B7D"/>
    <w:rsid w:val="001A0C6A"/>
    <w:rsid w:val="001A0C98"/>
    <w:rsid w:val="001A3E47"/>
    <w:rsid w:val="001A656B"/>
    <w:rsid w:val="001B475E"/>
    <w:rsid w:val="001B6AE7"/>
    <w:rsid w:val="001B6FAE"/>
    <w:rsid w:val="001B7402"/>
    <w:rsid w:val="001C03A0"/>
    <w:rsid w:val="001C2D69"/>
    <w:rsid w:val="001C3E55"/>
    <w:rsid w:val="001D1DF5"/>
    <w:rsid w:val="001D2917"/>
    <w:rsid w:val="001D3E77"/>
    <w:rsid w:val="001D6793"/>
    <w:rsid w:val="001D76BE"/>
    <w:rsid w:val="001E3587"/>
    <w:rsid w:val="001E3956"/>
    <w:rsid w:val="001E66B1"/>
    <w:rsid w:val="001F4E8F"/>
    <w:rsid w:val="001F4EE0"/>
    <w:rsid w:val="001F51CD"/>
    <w:rsid w:val="001F5764"/>
    <w:rsid w:val="001F6BA1"/>
    <w:rsid w:val="002040EA"/>
    <w:rsid w:val="0020683D"/>
    <w:rsid w:val="00213015"/>
    <w:rsid w:val="00215DA0"/>
    <w:rsid w:val="002220F4"/>
    <w:rsid w:val="0022245A"/>
    <w:rsid w:val="002229E0"/>
    <w:rsid w:val="00222F75"/>
    <w:rsid w:val="0022644C"/>
    <w:rsid w:val="00226C04"/>
    <w:rsid w:val="002362D3"/>
    <w:rsid w:val="00236656"/>
    <w:rsid w:val="002374F8"/>
    <w:rsid w:val="0024091B"/>
    <w:rsid w:val="0024119A"/>
    <w:rsid w:val="00242C71"/>
    <w:rsid w:val="0024323E"/>
    <w:rsid w:val="00243593"/>
    <w:rsid w:val="0024378B"/>
    <w:rsid w:val="002461D2"/>
    <w:rsid w:val="00246CF1"/>
    <w:rsid w:val="002511CF"/>
    <w:rsid w:val="00252E25"/>
    <w:rsid w:val="00253AF0"/>
    <w:rsid w:val="002540FD"/>
    <w:rsid w:val="002551D9"/>
    <w:rsid w:val="00255F95"/>
    <w:rsid w:val="0026341B"/>
    <w:rsid w:val="00263CDF"/>
    <w:rsid w:val="0026509A"/>
    <w:rsid w:val="00271747"/>
    <w:rsid w:val="0027286B"/>
    <w:rsid w:val="00274D3F"/>
    <w:rsid w:val="0028665C"/>
    <w:rsid w:val="00290CA7"/>
    <w:rsid w:val="00291679"/>
    <w:rsid w:val="0029405F"/>
    <w:rsid w:val="00296BEC"/>
    <w:rsid w:val="002A62E5"/>
    <w:rsid w:val="002B025E"/>
    <w:rsid w:val="002B058F"/>
    <w:rsid w:val="002B113D"/>
    <w:rsid w:val="002B4319"/>
    <w:rsid w:val="002B4C3A"/>
    <w:rsid w:val="002B5361"/>
    <w:rsid w:val="002B617D"/>
    <w:rsid w:val="002B67C9"/>
    <w:rsid w:val="002C1665"/>
    <w:rsid w:val="002C5AFE"/>
    <w:rsid w:val="002C75CC"/>
    <w:rsid w:val="002D46EF"/>
    <w:rsid w:val="002D753B"/>
    <w:rsid w:val="002D77C5"/>
    <w:rsid w:val="002E20DD"/>
    <w:rsid w:val="002E64A4"/>
    <w:rsid w:val="002E655C"/>
    <w:rsid w:val="002E69B6"/>
    <w:rsid w:val="002E6F0D"/>
    <w:rsid w:val="002E6FAD"/>
    <w:rsid w:val="002E7284"/>
    <w:rsid w:val="002F00BB"/>
    <w:rsid w:val="002F0448"/>
    <w:rsid w:val="002F45CB"/>
    <w:rsid w:val="00301B51"/>
    <w:rsid w:val="00305883"/>
    <w:rsid w:val="00306767"/>
    <w:rsid w:val="00312D09"/>
    <w:rsid w:val="003159CC"/>
    <w:rsid w:val="00325655"/>
    <w:rsid w:val="0032707E"/>
    <w:rsid w:val="00327AF7"/>
    <w:rsid w:val="0033042F"/>
    <w:rsid w:val="003305D2"/>
    <w:rsid w:val="00330DEB"/>
    <w:rsid w:val="00331DD6"/>
    <w:rsid w:val="00333B2F"/>
    <w:rsid w:val="0034156F"/>
    <w:rsid w:val="00342F7A"/>
    <w:rsid w:val="0034385F"/>
    <w:rsid w:val="003443B1"/>
    <w:rsid w:val="00345706"/>
    <w:rsid w:val="00346E79"/>
    <w:rsid w:val="00350999"/>
    <w:rsid w:val="00350A64"/>
    <w:rsid w:val="003524EB"/>
    <w:rsid w:val="00355359"/>
    <w:rsid w:val="0035658B"/>
    <w:rsid w:val="00356832"/>
    <w:rsid w:val="00363E63"/>
    <w:rsid w:val="003640E5"/>
    <w:rsid w:val="00364A8F"/>
    <w:rsid w:val="00365D68"/>
    <w:rsid w:val="00366D68"/>
    <w:rsid w:val="00371828"/>
    <w:rsid w:val="00374467"/>
    <w:rsid w:val="00374B90"/>
    <w:rsid w:val="0037709E"/>
    <w:rsid w:val="00380056"/>
    <w:rsid w:val="00381F22"/>
    <w:rsid w:val="003831A6"/>
    <w:rsid w:val="0038500A"/>
    <w:rsid w:val="00386C31"/>
    <w:rsid w:val="00390947"/>
    <w:rsid w:val="00394109"/>
    <w:rsid w:val="00394FBC"/>
    <w:rsid w:val="00396859"/>
    <w:rsid w:val="003974F8"/>
    <w:rsid w:val="003A1B12"/>
    <w:rsid w:val="003A23E4"/>
    <w:rsid w:val="003A26B5"/>
    <w:rsid w:val="003A49D8"/>
    <w:rsid w:val="003A50F3"/>
    <w:rsid w:val="003B14A1"/>
    <w:rsid w:val="003B55C2"/>
    <w:rsid w:val="003B76CF"/>
    <w:rsid w:val="003B7B25"/>
    <w:rsid w:val="003C0556"/>
    <w:rsid w:val="003C1005"/>
    <w:rsid w:val="003C2454"/>
    <w:rsid w:val="003C3C52"/>
    <w:rsid w:val="003C44D9"/>
    <w:rsid w:val="003C4E6F"/>
    <w:rsid w:val="003C614E"/>
    <w:rsid w:val="003C6951"/>
    <w:rsid w:val="003D0FA7"/>
    <w:rsid w:val="003D1203"/>
    <w:rsid w:val="003D2CFA"/>
    <w:rsid w:val="003D3D5B"/>
    <w:rsid w:val="003D3F15"/>
    <w:rsid w:val="003D58DF"/>
    <w:rsid w:val="003E0230"/>
    <w:rsid w:val="003E5239"/>
    <w:rsid w:val="003E5ADA"/>
    <w:rsid w:val="003E5C15"/>
    <w:rsid w:val="003E64D6"/>
    <w:rsid w:val="003F30E4"/>
    <w:rsid w:val="003F4C1B"/>
    <w:rsid w:val="004041D4"/>
    <w:rsid w:val="0040719E"/>
    <w:rsid w:val="004079CD"/>
    <w:rsid w:val="004123A3"/>
    <w:rsid w:val="00415098"/>
    <w:rsid w:val="00416E12"/>
    <w:rsid w:val="004204B9"/>
    <w:rsid w:val="004255B4"/>
    <w:rsid w:val="004271E0"/>
    <w:rsid w:val="00431E69"/>
    <w:rsid w:val="00431EDD"/>
    <w:rsid w:val="004351F9"/>
    <w:rsid w:val="004368FB"/>
    <w:rsid w:val="00444120"/>
    <w:rsid w:val="00445954"/>
    <w:rsid w:val="00446303"/>
    <w:rsid w:val="0044650F"/>
    <w:rsid w:val="00452589"/>
    <w:rsid w:val="00452804"/>
    <w:rsid w:val="004533D3"/>
    <w:rsid w:val="0045444B"/>
    <w:rsid w:val="00454E68"/>
    <w:rsid w:val="00455141"/>
    <w:rsid w:val="00461BCB"/>
    <w:rsid w:val="00462BA6"/>
    <w:rsid w:val="004636A5"/>
    <w:rsid w:val="00464D01"/>
    <w:rsid w:val="00467144"/>
    <w:rsid w:val="0046726B"/>
    <w:rsid w:val="00467D2C"/>
    <w:rsid w:val="004712B8"/>
    <w:rsid w:val="004729A1"/>
    <w:rsid w:val="00472EF9"/>
    <w:rsid w:val="0047514E"/>
    <w:rsid w:val="00477274"/>
    <w:rsid w:val="0048123F"/>
    <w:rsid w:val="00485BB1"/>
    <w:rsid w:val="0049501B"/>
    <w:rsid w:val="00496E7F"/>
    <w:rsid w:val="004970E5"/>
    <w:rsid w:val="004976FB"/>
    <w:rsid w:val="00497D53"/>
    <w:rsid w:val="004A37A6"/>
    <w:rsid w:val="004A574A"/>
    <w:rsid w:val="004A6A8D"/>
    <w:rsid w:val="004B013F"/>
    <w:rsid w:val="004B235F"/>
    <w:rsid w:val="004B2A84"/>
    <w:rsid w:val="004B49B6"/>
    <w:rsid w:val="004C0A16"/>
    <w:rsid w:val="004C278D"/>
    <w:rsid w:val="004C2835"/>
    <w:rsid w:val="004C30D1"/>
    <w:rsid w:val="004C4D7C"/>
    <w:rsid w:val="004D0C06"/>
    <w:rsid w:val="004D1C88"/>
    <w:rsid w:val="004D2BC3"/>
    <w:rsid w:val="004D2D1C"/>
    <w:rsid w:val="004D35C3"/>
    <w:rsid w:val="004D4230"/>
    <w:rsid w:val="004D5D4E"/>
    <w:rsid w:val="004D63EF"/>
    <w:rsid w:val="004E107A"/>
    <w:rsid w:val="004E1AF2"/>
    <w:rsid w:val="004E1F41"/>
    <w:rsid w:val="004E2181"/>
    <w:rsid w:val="004F320B"/>
    <w:rsid w:val="004F3835"/>
    <w:rsid w:val="004F61F1"/>
    <w:rsid w:val="004F72E3"/>
    <w:rsid w:val="00506505"/>
    <w:rsid w:val="00506E6D"/>
    <w:rsid w:val="00520115"/>
    <w:rsid w:val="005224F3"/>
    <w:rsid w:val="005237A1"/>
    <w:rsid w:val="0052505D"/>
    <w:rsid w:val="005321D5"/>
    <w:rsid w:val="005326CC"/>
    <w:rsid w:val="00533109"/>
    <w:rsid w:val="00534457"/>
    <w:rsid w:val="005361E9"/>
    <w:rsid w:val="0054158F"/>
    <w:rsid w:val="005468A2"/>
    <w:rsid w:val="00546DBF"/>
    <w:rsid w:val="0055126B"/>
    <w:rsid w:val="00555A80"/>
    <w:rsid w:val="00560CB1"/>
    <w:rsid w:val="00561C9A"/>
    <w:rsid w:val="0056680E"/>
    <w:rsid w:val="00566D6E"/>
    <w:rsid w:val="00573CF2"/>
    <w:rsid w:val="0058006D"/>
    <w:rsid w:val="0058052D"/>
    <w:rsid w:val="005806D5"/>
    <w:rsid w:val="005965AF"/>
    <w:rsid w:val="005977D2"/>
    <w:rsid w:val="005A2EF5"/>
    <w:rsid w:val="005A70C8"/>
    <w:rsid w:val="005A7DEB"/>
    <w:rsid w:val="005B0C7D"/>
    <w:rsid w:val="005B4C57"/>
    <w:rsid w:val="005B6FC5"/>
    <w:rsid w:val="005C2106"/>
    <w:rsid w:val="005C2C5C"/>
    <w:rsid w:val="005C3B6F"/>
    <w:rsid w:val="005C489E"/>
    <w:rsid w:val="005C4D2E"/>
    <w:rsid w:val="005D1927"/>
    <w:rsid w:val="005D285A"/>
    <w:rsid w:val="005D3726"/>
    <w:rsid w:val="005D7078"/>
    <w:rsid w:val="005D71A4"/>
    <w:rsid w:val="005E6F08"/>
    <w:rsid w:val="005F0D7D"/>
    <w:rsid w:val="005F2004"/>
    <w:rsid w:val="005F5C51"/>
    <w:rsid w:val="00600E28"/>
    <w:rsid w:val="0060240D"/>
    <w:rsid w:val="0060300C"/>
    <w:rsid w:val="0060627C"/>
    <w:rsid w:val="00612374"/>
    <w:rsid w:val="00613F54"/>
    <w:rsid w:val="00613F73"/>
    <w:rsid w:val="00614A02"/>
    <w:rsid w:val="00623BBE"/>
    <w:rsid w:val="006269CE"/>
    <w:rsid w:val="00632222"/>
    <w:rsid w:val="0063497B"/>
    <w:rsid w:val="00637D5B"/>
    <w:rsid w:val="006421BC"/>
    <w:rsid w:val="00643ACC"/>
    <w:rsid w:val="00650921"/>
    <w:rsid w:val="00652795"/>
    <w:rsid w:val="00653A02"/>
    <w:rsid w:val="0065447B"/>
    <w:rsid w:val="00654FA7"/>
    <w:rsid w:val="006571E5"/>
    <w:rsid w:val="00657585"/>
    <w:rsid w:val="00662E1E"/>
    <w:rsid w:val="0066322D"/>
    <w:rsid w:val="0067095F"/>
    <w:rsid w:val="00671853"/>
    <w:rsid w:val="00681569"/>
    <w:rsid w:val="006851CA"/>
    <w:rsid w:val="006875F1"/>
    <w:rsid w:val="00687A6B"/>
    <w:rsid w:val="00692347"/>
    <w:rsid w:val="00693635"/>
    <w:rsid w:val="006965FC"/>
    <w:rsid w:val="006979EF"/>
    <w:rsid w:val="006A15CC"/>
    <w:rsid w:val="006A2CFB"/>
    <w:rsid w:val="006A595B"/>
    <w:rsid w:val="006A6820"/>
    <w:rsid w:val="006A7079"/>
    <w:rsid w:val="006B1CDC"/>
    <w:rsid w:val="006B3D3D"/>
    <w:rsid w:val="006B60A0"/>
    <w:rsid w:val="006B7430"/>
    <w:rsid w:val="006B7DA3"/>
    <w:rsid w:val="006C2117"/>
    <w:rsid w:val="006C27F8"/>
    <w:rsid w:val="006C2E31"/>
    <w:rsid w:val="006C6657"/>
    <w:rsid w:val="006C66CB"/>
    <w:rsid w:val="006C6FC9"/>
    <w:rsid w:val="006C7DB4"/>
    <w:rsid w:val="006D3EED"/>
    <w:rsid w:val="006E1C81"/>
    <w:rsid w:val="006E6B3C"/>
    <w:rsid w:val="006F3B53"/>
    <w:rsid w:val="00700737"/>
    <w:rsid w:val="007016EF"/>
    <w:rsid w:val="007121F2"/>
    <w:rsid w:val="00714319"/>
    <w:rsid w:val="00722B61"/>
    <w:rsid w:val="00723863"/>
    <w:rsid w:val="00731125"/>
    <w:rsid w:val="00731B6F"/>
    <w:rsid w:val="00737361"/>
    <w:rsid w:val="0074452D"/>
    <w:rsid w:val="0074466E"/>
    <w:rsid w:val="00744E82"/>
    <w:rsid w:val="007454DD"/>
    <w:rsid w:val="00750B0D"/>
    <w:rsid w:val="007511AD"/>
    <w:rsid w:val="00751346"/>
    <w:rsid w:val="00760562"/>
    <w:rsid w:val="00762194"/>
    <w:rsid w:val="00766241"/>
    <w:rsid w:val="00771468"/>
    <w:rsid w:val="00771D42"/>
    <w:rsid w:val="00771EED"/>
    <w:rsid w:val="00777337"/>
    <w:rsid w:val="007808DC"/>
    <w:rsid w:val="0078321F"/>
    <w:rsid w:val="007835C9"/>
    <w:rsid w:val="00786303"/>
    <w:rsid w:val="0079410F"/>
    <w:rsid w:val="00795200"/>
    <w:rsid w:val="007971E2"/>
    <w:rsid w:val="007A0B59"/>
    <w:rsid w:val="007A1CD0"/>
    <w:rsid w:val="007A3A82"/>
    <w:rsid w:val="007A414F"/>
    <w:rsid w:val="007A49D6"/>
    <w:rsid w:val="007A5BDF"/>
    <w:rsid w:val="007A79D4"/>
    <w:rsid w:val="007B189A"/>
    <w:rsid w:val="007B6C89"/>
    <w:rsid w:val="007B7110"/>
    <w:rsid w:val="007C26AA"/>
    <w:rsid w:val="007C47C4"/>
    <w:rsid w:val="007C48CF"/>
    <w:rsid w:val="007D0791"/>
    <w:rsid w:val="007D164F"/>
    <w:rsid w:val="007D1929"/>
    <w:rsid w:val="007D3896"/>
    <w:rsid w:val="007D4A37"/>
    <w:rsid w:val="007E659C"/>
    <w:rsid w:val="007F1307"/>
    <w:rsid w:val="007F6069"/>
    <w:rsid w:val="00800BCD"/>
    <w:rsid w:val="00801D7A"/>
    <w:rsid w:val="0080541B"/>
    <w:rsid w:val="00805D7C"/>
    <w:rsid w:val="00812D81"/>
    <w:rsid w:val="00820AB1"/>
    <w:rsid w:val="00827BAD"/>
    <w:rsid w:val="0083025B"/>
    <w:rsid w:val="0083204F"/>
    <w:rsid w:val="00833C7F"/>
    <w:rsid w:val="00835A2A"/>
    <w:rsid w:val="00840074"/>
    <w:rsid w:val="0084348E"/>
    <w:rsid w:val="008442F2"/>
    <w:rsid w:val="00852E3D"/>
    <w:rsid w:val="00856375"/>
    <w:rsid w:val="00860582"/>
    <w:rsid w:val="008649A7"/>
    <w:rsid w:val="008666F9"/>
    <w:rsid w:val="00874615"/>
    <w:rsid w:val="008752A0"/>
    <w:rsid w:val="00877AB3"/>
    <w:rsid w:val="00881B9A"/>
    <w:rsid w:val="00882BE5"/>
    <w:rsid w:val="00883786"/>
    <w:rsid w:val="00884A45"/>
    <w:rsid w:val="00886885"/>
    <w:rsid w:val="00886AD3"/>
    <w:rsid w:val="00887D7E"/>
    <w:rsid w:val="00890A09"/>
    <w:rsid w:val="00890AE9"/>
    <w:rsid w:val="0089259B"/>
    <w:rsid w:val="00896CDC"/>
    <w:rsid w:val="0089770B"/>
    <w:rsid w:val="008A0844"/>
    <w:rsid w:val="008A14E9"/>
    <w:rsid w:val="008A2E00"/>
    <w:rsid w:val="008A3BAE"/>
    <w:rsid w:val="008A60FC"/>
    <w:rsid w:val="008A7049"/>
    <w:rsid w:val="008B1DC9"/>
    <w:rsid w:val="008B53C7"/>
    <w:rsid w:val="008B7326"/>
    <w:rsid w:val="008C04C4"/>
    <w:rsid w:val="008C32FE"/>
    <w:rsid w:val="008C5025"/>
    <w:rsid w:val="008D03DA"/>
    <w:rsid w:val="008D3A98"/>
    <w:rsid w:val="008D52F1"/>
    <w:rsid w:val="008E245D"/>
    <w:rsid w:val="008E4669"/>
    <w:rsid w:val="008E65B2"/>
    <w:rsid w:val="008F2C7A"/>
    <w:rsid w:val="00902C77"/>
    <w:rsid w:val="0090688B"/>
    <w:rsid w:val="00910265"/>
    <w:rsid w:val="00910A6B"/>
    <w:rsid w:val="0091385F"/>
    <w:rsid w:val="00916FC4"/>
    <w:rsid w:val="0091753E"/>
    <w:rsid w:val="00926E02"/>
    <w:rsid w:val="0093604B"/>
    <w:rsid w:val="00936BD2"/>
    <w:rsid w:val="00942927"/>
    <w:rsid w:val="00943A1A"/>
    <w:rsid w:val="009446E5"/>
    <w:rsid w:val="00944DCF"/>
    <w:rsid w:val="00946C4C"/>
    <w:rsid w:val="00947026"/>
    <w:rsid w:val="009470CD"/>
    <w:rsid w:val="00947144"/>
    <w:rsid w:val="0095229A"/>
    <w:rsid w:val="00957866"/>
    <w:rsid w:val="00957EAF"/>
    <w:rsid w:val="00962B9A"/>
    <w:rsid w:val="00971564"/>
    <w:rsid w:val="0097375C"/>
    <w:rsid w:val="009740C1"/>
    <w:rsid w:val="0097488C"/>
    <w:rsid w:val="00974CB2"/>
    <w:rsid w:val="009759C5"/>
    <w:rsid w:val="00982A57"/>
    <w:rsid w:val="009840A7"/>
    <w:rsid w:val="00985EE4"/>
    <w:rsid w:val="009908D8"/>
    <w:rsid w:val="009918B9"/>
    <w:rsid w:val="009930B0"/>
    <w:rsid w:val="00993218"/>
    <w:rsid w:val="009934E3"/>
    <w:rsid w:val="0099530C"/>
    <w:rsid w:val="009A0978"/>
    <w:rsid w:val="009A1E12"/>
    <w:rsid w:val="009A7163"/>
    <w:rsid w:val="009B1E15"/>
    <w:rsid w:val="009B5675"/>
    <w:rsid w:val="009B6E8F"/>
    <w:rsid w:val="009C1BE7"/>
    <w:rsid w:val="009C337E"/>
    <w:rsid w:val="009C3DB0"/>
    <w:rsid w:val="009C4C87"/>
    <w:rsid w:val="009D0E1C"/>
    <w:rsid w:val="009D311B"/>
    <w:rsid w:val="009D4435"/>
    <w:rsid w:val="009E45E5"/>
    <w:rsid w:val="009E520E"/>
    <w:rsid w:val="009E540B"/>
    <w:rsid w:val="009F074F"/>
    <w:rsid w:val="009F100D"/>
    <w:rsid w:val="009F2107"/>
    <w:rsid w:val="009F3678"/>
    <w:rsid w:val="009F6F44"/>
    <w:rsid w:val="009F75CB"/>
    <w:rsid w:val="00A03639"/>
    <w:rsid w:val="00A05383"/>
    <w:rsid w:val="00A072AA"/>
    <w:rsid w:val="00A07777"/>
    <w:rsid w:val="00A107AD"/>
    <w:rsid w:val="00A129FF"/>
    <w:rsid w:val="00A15DA9"/>
    <w:rsid w:val="00A21B66"/>
    <w:rsid w:val="00A22817"/>
    <w:rsid w:val="00A236E8"/>
    <w:rsid w:val="00A242E2"/>
    <w:rsid w:val="00A30DB1"/>
    <w:rsid w:val="00A35FCE"/>
    <w:rsid w:val="00A42839"/>
    <w:rsid w:val="00A438E1"/>
    <w:rsid w:val="00A44699"/>
    <w:rsid w:val="00A47428"/>
    <w:rsid w:val="00A51BB9"/>
    <w:rsid w:val="00A549BD"/>
    <w:rsid w:val="00A554F6"/>
    <w:rsid w:val="00A5668B"/>
    <w:rsid w:val="00A62351"/>
    <w:rsid w:val="00A62CC0"/>
    <w:rsid w:val="00A703DF"/>
    <w:rsid w:val="00A7050D"/>
    <w:rsid w:val="00A72977"/>
    <w:rsid w:val="00A736A0"/>
    <w:rsid w:val="00A75761"/>
    <w:rsid w:val="00A76391"/>
    <w:rsid w:val="00A8004F"/>
    <w:rsid w:val="00A807D0"/>
    <w:rsid w:val="00A809D3"/>
    <w:rsid w:val="00A8329F"/>
    <w:rsid w:val="00A8549D"/>
    <w:rsid w:val="00A87E78"/>
    <w:rsid w:val="00A91FD7"/>
    <w:rsid w:val="00A93BFF"/>
    <w:rsid w:val="00A95572"/>
    <w:rsid w:val="00A96032"/>
    <w:rsid w:val="00AA0B7E"/>
    <w:rsid w:val="00AA1F25"/>
    <w:rsid w:val="00AA3703"/>
    <w:rsid w:val="00AA633F"/>
    <w:rsid w:val="00AA6CDE"/>
    <w:rsid w:val="00AB0C65"/>
    <w:rsid w:val="00AB6034"/>
    <w:rsid w:val="00AB6C3C"/>
    <w:rsid w:val="00AB78C2"/>
    <w:rsid w:val="00AC328B"/>
    <w:rsid w:val="00AC3A8F"/>
    <w:rsid w:val="00AC6654"/>
    <w:rsid w:val="00AD62C9"/>
    <w:rsid w:val="00AD675D"/>
    <w:rsid w:val="00AD6EFF"/>
    <w:rsid w:val="00AE032C"/>
    <w:rsid w:val="00AE2753"/>
    <w:rsid w:val="00AE3184"/>
    <w:rsid w:val="00AE3298"/>
    <w:rsid w:val="00AE3A0D"/>
    <w:rsid w:val="00AE4AFE"/>
    <w:rsid w:val="00AE5CA1"/>
    <w:rsid w:val="00AE6F57"/>
    <w:rsid w:val="00AE74D8"/>
    <w:rsid w:val="00AF17FE"/>
    <w:rsid w:val="00AF1FB6"/>
    <w:rsid w:val="00AF3058"/>
    <w:rsid w:val="00AF5265"/>
    <w:rsid w:val="00AF5EE3"/>
    <w:rsid w:val="00AF6CE4"/>
    <w:rsid w:val="00AF7D8F"/>
    <w:rsid w:val="00B00E5E"/>
    <w:rsid w:val="00B069D8"/>
    <w:rsid w:val="00B10FE7"/>
    <w:rsid w:val="00B11BB6"/>
    <w:rsid w:val="00B125C9"/>
    <w:rsid w:val="00B12AB7"/>
    <w:rsid w:val="00B144A1"/>
    <w:rsid w:val="00B20B53"/>
    <w:rsid w:val="00B21996"/>
    <w:rsid w:val="00B220A3"/>
    <w:rsid w:val="00B226C8"/>
    <w:rsid w:val="00B2692B"/>
    <w:rsid w:val="00B30231"/>
    <w:rsid w:val="00B32724"/>
    <w:rsid w:val="00B356B6"/>
    <w:rsid w:val="00B3704F"/>
    <w:rsid w:val="00B37413"/>
    <w:rsid w:val="00B40FC8"/>
    <w:rsid w:val="00B451B6"/>
    <w:rsid w:val="00B451BA"/>
    <w:rsid w:val="00B52F7E"/>
    <w:rsid w:val="00B545B7"/>
    <w:rsid w:val="00B56388"/>
    <w:rsid w:val="00B57791"/>
    <w:rsid w:val="00B614F9"/>
    <w:rsid w:val="00B615A1"/>
    <w:rsid w:val="00B61616"/>
    <w:rsid w:val="00B725B0"/>
    <w:rsid w:val="00B738F6"/>
    <w:rsid w:val="00B76526"/>
    <w:rsid w:val="00B8133E"/>
    <w:rsid w:val="00B82B15"/>
    <w:rsid w:val="00B8300F"/>
    <w:rsid w:val="00B92DA1"/>
    <w:rsid w:val="00B9429F"/>
    <w:rsid w:val="00B95E76"/>
    <w:rsid w:val="00BA06C6"/>
    <w:rsid w:val="00BA0F00"/>
    <w:rsid w:val="00BA17CB"/>
    <w:rsid w:val="00BA17FD"/>
    <w:rsid w:val="00BA1DBC"/>
    <w:rsid w:val="00BA206E"/>
    <w:rsid w:val="00BA4013"/>
    <w:rsid w:val="00BA4836"/>
    <w:rsid w:val="00BA51FC"/>
    <w:rsid w:val="00BA5775"/>
    <w:rsid w:val="00BB361C"/>
    <w:rsid w:val="00BB596B"/>
    <w:rsid w:val="00BB6063"/>
    <w:rsid w:val="00BB6DF6"/>
    <w:rsid w:val="00BB73B2"/>
    <w:rsid w:val="00BC08EA"/>
    <w:rsid w:val="00BC41EA"/>
    <w:rsid w:val="00BC7B39"/>
    <w:rsid w:val="00BD11DE"/>
    <w:rsid w:val="00BD270C"/>
    <w:rsid w:val="00BD6B2F"/>
    <w:rsid w:val="00BE692D"/>
    <w:rsid w:val="00BF2574"/>
    <w:rsid w:val="00BF2667"/>
    <w:rsid w:val="00BF2BFC"/>
    <w:rsid w:val="00BF2D20"/>
    <w:rsid w:val="00BF2F81"/>
    <w:rsid w:val="00BF39BE"/>
    <w:rsid w:val="00BF615A"/>
    <w:rsid w:val="00BF64FF"/>
    <w:rsid w:val="00C0394F"/>
    <w:rsid w:val="00C065C3"/>
    <w:rsid w:val="00C07D5B"/>
    <w:rsid w:val="00C101AE"/>
    <w:rsid w:val="00C11346"/>
    <w:rsid w:val="00C11F86"/>
    <w:rsid w:val="00C15F4B"/>
    <w:rsid w:val="00C170D6"/>
    <w:rsid w:val="00C26C8D"/>
    <w:rsid w:val="00C31DD3"/>
    <w:rsid w:val="00C45012"/>
    <w:rsid w:val="00C54755"/>
    <w:rsid w:val="00C57605"/>
    <w:rsid w:val="00C65B2C"/>
    <w:rsid w:val="00C70AD6"/>
    <w:rsid w:val="00C73E30"/>
    <w:rsid w:val="00C74201"/>
    <w:rsid w:val="00C75108"/>
    <w:rsid w:val="00C75FAF"/>
    <w:rsid w:val="00C765E5"/>
    <w:rsid w:val="00C80811"/>
    <w:rsid w:val="00C8316C"/>
    <w:rsid w:val="00C926E8"/>
    <w:rsid w:val="00C92B01"/>
    <w:rsid w:val="00C96FE7"/>
    <w:rsid w:val="00CA6734"/>
    <w:rsid w:val="00CB185C"/>
    <w:rsid w:val="00CB2C49"/>
    <w:rsid w:val="00CC6016"/>
    <w:rsid w:val="00CC6777"/>
    <w:rsid w:val="00CE3753"/>
    <w:rsid w:val="00CE5C98"/>
    <w:rsid w:val="00CF4288"/>
    <w:rsid w:val="00CF5F66"/>
    <w:rsid w:val="00CF6407"/>
    <w:rsid w:val="00D04063"/>
    <w:rsid w:val="00D04ECC"/>
    <w:rsid w:val="00D1159C"/>
    <w:rsid w:val="00D127B3"/>
    <w:rsid w:val="00D13EB8"/>
    <w:rsid w:val="00D149C7"/>
    <w:rsid w:val="00D21920"/>
    <w:rsid w:val="00D232D1"/>
    <w:rsid w:val="00D24CD5"/>
    <w:rsid w:val="00D25360"/>
    <w:rsid w:val="00D269D1"/>
    <w:rsid w:val="00D2766A"/>
    <w:rsid w:val="00D27BDB"/>
    <w:rsid w:val="00D312B6"/>
    <w:rsid w:val="00D314BE"/>
    <w:rsid w:val="00D33C9A"/>
    <w:rsid w:val="00D33D88"/>
    <w:rsid w:val="00D35253"/>
    <w:rsid w:val="00D41ECD"/>
    <w:rsid w:val="00D44A56"/>
    <w:rsid w:val="00D455E8"/>
    <w:rsid w:val="00D459DF"/>
    <w:rsid w:val="00D46AC2"/>
    <w:rsid w:val="00D47930"/>
    <w:rsid w:val="00D569EB"/>
    <w:rsid w:val="00D6286F"/>
    <w:rsid w:val="00D63CDD"/>
    <w:rsid w:val="00D63F14"/>
    <w:rsid w:val="00D64755"/>
    <w:rsid w:val="00D6735E"/>
    <w:rsid w:val="00D67FB0"/>
    <w:rsid w:val="00D71373"/>
    <w:rsid w:val="00D7306E"/>
    <w:rsid w:val="00D7442E"/>
    <w:rsid w:val="00D76360"/>
    <w:rsid w:val="00D77BBD"/>
    <w:rsid w:val="00D80CC5"/>
    <w:rsid w:val="00D8114D"/>
    <w:rsid w:val="00D8684F"/>
    <w:rsid w:val="00D87533"/>
    <w:rsid w:val="00D90505"/>
    <w:rsid w:val="00D92F22"/>
    <w:rsid w:val="00D95B56"/>
    <w:rsid w:val="00DA3067"/>
    <w:rsid w:val="00DA6949"/>
    <w:rsid w:val="00DB13A7"/>
    <w:rsid w:val="00DB1C32"/>
    <w:rsid w:val="00DB4EC7"/>
    <w:rsid w:val="00DC022D"/>
    <w:rsid w:val="00DC2376"/>
    <w:rsid w:val="00DC23A5"/>
    <w:rsid w:val="00DC5019"/>
    <w:rsid w:val="00DD1910"/>
    <w:rsid w:val="00DD5550"/>
    <w:rsid w:val="00DE2568"/>
    <w:rsid w:val="00DE2EA9"/>
    <w:rsid w:val="00DE4ACB"/>
    <w:rsid w:val="00DE5B2B"/>
    <w:rsid w:val="00DE60F9"/>
    <w:rsid w:val="00DE72F6"/>
    <w:rsid w:val="00DF1DFE"/>
    <w:rsid w:val="00DF3707"/>
    <w:rsid w:val="00DF4F0B"/>
    <w:rsid w:val="00DF67EB"/>
    <w:rsid w:val="00DF7AA6"/>
    <w:rsid w:val="00E00D93"/>
    <w:rsid w:val="00E02608"/>
    <w:rsid w:val="00E02749"/>
    <w:rsid w:val="00E11672"/>
    <w:rsid w:val="00E1314C"/>
    <w:rsid w:val="00E1322D"/>
    <w:rsid w:val="00E1638D"/>
    <w:rsid w:val="00E1644B"/>
    <w:rsid w:val="00E2081C"/>
    <w:rsid w:val="00E27D5E"/>
    <w:rsid w:val="00E31B72"/>
    <w:rsid w:val="00E3247B"/>
    <w:rsid w:val="00E32672"/>
    <w:rsid w:val="00E33404"/>
    <w:rsid w:val="00E37D62"/>
    <w:rsid w:val="00E4211E"/>
    <w:rsid w:val="00E422FE"/>
    <w:rsid w:val="00E42A69"/>
    <w:rsid w:val="00E44048"/>
    <w:rsid w:val="00E50887"/>
    <w:rsid w:val="00E518F8"/>
    <w:rsid w:val="00E56CF8"/>
    <w:rsid w:val="00E62157"/>
    <w:rsid w:val="00E7094F"/>
    <w:rsid w:val="00E74996"/>
    <w:rsid w:val="00E75E61"/>
    <w:rsid w:val="00E7791D"/>
    <w:rsid w:val="00E814D0"/>
    <w:rsid w:val="00E81806"/>
    <w:rsid w:val="00E84707"/>
    <w:rsid w:val="00E861F4"/>
    <w:rsid w:val="00E86721"/>
    <w:rsid w:val="00E8794E"/>
    <w:rsid w:val="00E915A6"/>
    <w:rsid w:val="00E919F2"/>
    <w:rsid w:val="00EA0317"/>
    <w:rsid w:val="00EA421C"/>
    <w:rsid w:val="00EA4574"/>
    <w:rsid w:val="00EA6A7B"/>
    <w:rsid w:val="00EA7D9D"/>
    <w:rsid w:val="00EB5F8A"/>
    <w:rsid w:val="00EC03BE"/>
    <w:rsid w:val="00EC10EA"/>
    <w:rsid w:val="00EC57D6"/>
    <w:rsid w:val="00EC7207"/>
    <w:rsid w:val="00EC7394"/>
    <w:rsid w:val="00EC7F28"/>
    <w:rsid w:val="00ED158E"/>
    <w:rsid w:val="00ED4168"/>
    <w:rsid w:val="00ED5889"/>
    <w:rsid w:val="00ED591A"/>
    <w:rsid w:val="00EE0806"/>
    <w:rsid w:val="00EE4CF6"/>
    <w:rsid w:val="00EE6669"/>
    <w:rsid w:val="00EE6D25"/>
    <w:rsid w:val="00EE7E6E"/>
    <w:rsid w:val="00EF1EC5"/>
    <w:rsid w:val="00EF299D"/>
    <w:rsid w:val="00EF5D58"/>
    <w:rsid w:val="00EF672E"/>
    <w:rsid w:val="00F04564"/>
    <w:rsid w:val="00F05302"/>
    <w:rsid w:val="00F06812"/>
    <w:rsid w:val="00F071DA"/>
    <w:rsid w:val="00F12BD0"/>
    <w:rsid w:val="00F15013"/>
    <w:rsid w:val="00F212CA"/>
    <w:rsid w:val="00F21549"/>
    <w:rsid w:val="00F22F14"/>
    <w:rsid w:val="00F24029"/>
    <w:rsid w:val="00F24273"/>
    <w:rsid w:val="00F2747A"/>
    <w:rsid w:val="00F304EF"/>
    <w:rsid w:val="00F31CA1"/>
    <w:rsid w:val="00F326CE"/>
    <w:rsid w:val="00F32C57"/>
    <w:rsid w:val="00F35718"/>
    <w:rsid w:val="00F409C1"/>
    <w:rsid w:val="00F41187"/>
    <w:rsid w:val="00F41E1A"/>
    <w:rsid w:val="00F43D0E"/>
    <w:rsid w:val="00F43F6C"/>
    <w:rsid w:val="00F45E68"/>
    <w:rsid w:val="00F47B15"/>
    <w:rsid w:val="00F545EF"/>
    <w:rsid w:val="00F549BE"/>
    <w:rsid w:val="00F55E33"/>
    <w:rsid w:val="00F567E2"/>
    <w:rsid w:val="00F57C31"/>
    <w:rsid w:val="00F60147"/>
    <w:rsid w:val="00F65156"/>
    <w:rsid w:val="00F66E1B"/>
    <w:rsid w:val="00F66FE5"/>
    <w:rsid w:val="00F70A74"/>
    <w:rsid w:val="00F7118E"/>
    <w:rsid w:val="00F75751"/>
    <w:rsid w:val="00F759C1"/>
    <w:rsid w:val="00F8294E"/>
    <w:rsid w:val="00F8388D"/>
    <w:rsid w:val="00F91FE1"/>
    <w:rsid w:val="00F930F6"/>
    <w:rsid w:val="00F931DB"/>
    <w:rsid w:val="00FA45E3"/>
    <w:rsid w:val="00FA4C4B"/>
    <w:rsid w:val="00FA5454"/>
    <w:rsid w:val="00FA7397"/>
    <w:rsid w:val="00FB24ED"/>
    <w:rsid w:val="00FB2DCD"/>
    <w:rsid w:val="00FB5533"/>
    <w:rsid w:val="00FB6F03"/>
    <w:rsid w:val="00FB7473"/>
    <w:rsid w:val="00FC12D6"/>
    <w:rsid w:val="00FC2954"/>
    <w:rsid w:val="00FC42A6"/>
    <w:rsid w:val="00FC4E13"/>
    <w:rsid w:val="00FC639A"/>
    <w:rsid w:val="00FD01CA"/>
    <w:rsid w:val="00FD1641"/>
    <w:rsid w:val="00FD3751"/>
    <w:rsid w:val="00FD51D8"/>
    <w:rsid w:val="00FD6B74"/>
    <w:rsid w:val="00FE12B1"/>
    <w:rsid w:val="00FE625D"/>
    <w:rsid w:val="00FE7254"/>
    <w:rsid w:val="00FF0BCD"/>
    <w:rsid w:val="00FF187C"/>
    <w:rsid w:val="00FF4415"/>
    <w:rsid w:val="00FF5CF4"/>
    <w:rsid w:val="0161D57A"/>
    <w:rsid w:val="0187B876"/>
    <w:rsid w:val="0242521C"/>
    <w:rsid w:val="035D91B3"/>
    <w:rsid w:val="036EAB16"/>
    <w:rsid w:val="03E5D857"/>
    <w:rsid w:val="0411597F"/>
    <w:rsid w:val="05175898"/>
    <w:rsid w:val="06A0D8CF"/>
    <w:rsid w:val="0879C2C3"/>
    <w:rsid w:val="0A22FA7C"/>
    <w:rsid w:val="0B8BA41C"/>
    <w:rsid w:val="0C2FAB6C"/>
    <w:rsid w:val="0CA2C3CC"/>
    <w:rsid w:val="0DBC376B"/>
    <w:rsid w:val="0ECFDBEA"/>
    <w:rsid w:val="0F2DFF10"/>
    <w:rsid w:val="104BF435"/>
    <w:rsid w:val="12C59ED2"/>
    <w:rsid w:val="14D773A8"/>
    <w:rsid w:val="161A47A2"/>
    <w:rsid w:val="16D7EF1A"/>
    <w:rsid w:val="1A6010B3"/>
    <w:rsid w:val="1EAB80BA"/>
    <w:rsid w:val="1F7749D5"/>
    <w:rsid w:val="1F8EE846"/>
    <w:rsid w:val="20B5DC81"/>
    <w:rsid w:val="20FFA904"/>
    <w:rsid w:val="21F19F53"/>
    <w:rsid w:val="25AD6274"/>
    <w:rsid w:val="269637BF"/>
    <w:rsid w:val="2718FE7D"/>
    <w:rsid w:val="29418CB0"/>
    <w:rsid w:val="295213D4"/>
    <w:rsid w:val="2C239232"/>
    <w:rsid w:val="2C9C4664"/>
    <w:rsid w:val="2CBA2D16"/>
    <w:rsid w:val="2CE1AD55"/>
    <w:rsid w:val="2D6C1016"/>
    <w:rsid w:val="2EDD5153"/>
    <w:rsid w:val="2FE10101"/>
    <w:rsid w:val="302CF70A"/>
    <w:rsid w:val="3114DAE0"/>
    <w:rsid w:val="312594C6"/>
    <w:rsid w:val="316DABEB"/>
    <w:rsid w:val="323F8139"/>
    <w:rsid w:val="3250E8AC"/>
    <w:rsid w:val="357D5926"/>
    <w:rsid w:val="35ED4FA4"/>
    <w:rsid w:val="36A91F9E"/>
    <w:rsid w:val="37357142"/>
    <w:rsid w:val="378A9F6A"/>
    <w:rsid w:val="3922BE47"/>
    <w:rsid w:val="3937B379"/>
    <w:rsid w:val="39D0784F"/>
    <w:rsid w:val="3B3F86CB"/>
    <w:rsid w:val="3B4DCA80"/>
    <w:rsid w:val="3BB8CE85"/>
    <w:rsid w:val="3C773F3A"/>
    <w:rsid w:val="3E75F6D3"/>
    <w:rsid w:val="3EF8B526"/>
    <w:rsid w:val="3F164357"/>
    <w:rsid w:val="3FF4CF64"/>
    <w:rsid w:val="40744006"/>
    <w:rsid w:val="411F72FE"/>
    <w:rsid w:val="411F74E2"/>
    <w:rsid w:val="414C2577"/>
    <w:rsid w:val="42F9848C"/>
    <w:rsid w:val="42F98632"/>
    <w:rsid w:val="43D1A6BA"/>
    <w:rsid w:val="4419D94E"/>
    <w:rsid w:val="4482A7C8"/>
    <w:rsid w:val="46B97D34"/>
    <w:rsid w:val="47E1DCDE"/>
    <w:rsid w:val="47EE5EC8"/>
    <w:rsid w:val="481F72C6"/>
    <w:rsid w:val="48FD4927"/>
    <w:rsid w:val="4904A5F1"/>
    <w:rsid w:val="49F83CA4"/>
    <w:rsid w:val="4A5B5AB9"/>
    <w:rsid w:val="4B7CDE3D"/>
    <w:rsid w:val="4BD44F24"/>
    <w:rsid w:val="4C85C691"/>
    <w:rsid w:val="4D493203"/>
    <w:rsid w:val="4EA37C92"/>
    <w:rsid w:val="4EB6BA3F"/>
    <w:rsid w:val="5112C08A"/>
    <w:rsid w:val="512B9E57"/>
    <w:rsid w:val="513F19C9"/>
    <w:rsid w:val="527F3DC7"/>
    <w:rsid w:val="53CA7002"/>
    <w:rsid w:val="562B79E7"/>
    <w:rsid w:val="566D5039"/>
    <w:rsid w:val="571BE96C"/>
    <w:rsid w:val="57C914CA"/>
    <w:rsid w:val="5823843A"/>
    <w:rsid w:val="5A136CE7"/>
    <w:rsid w:val="5A3D49DC"/>
    <w:rsid w:val="5A95B96C"/>
    <w:rsid w:val="5AC3467A"/>
    <w:rsid w:val="5B6E5ACE"/>
    <w:rsid w:val="5BEE6921"/>
    <w:rsid w:val="5C6F4CE4"/>
    <w:rsid w:val="5D407D35"/>
    <w:rsid w:val="600C1C4A"/>
    <w:rsid w:val="60224628"/>
    <w:rsid w:val="61085E36"/>
    <w:rsid w:val="62C72026"/>
    <w:rsid w:val="63D1D961"/>
    <w:rsid w:val="649F18FF"/>
    <w:rsid w:val="651FFC22"/>
    <w:rsid w:val="671D19AE"/>
    <w:rsid w:val="68679EEF"/>
    <w:rsid w:val="68F4E630"/>
    <w:rsid w:val="6925969B"/>
    <w:rsid w:val="694F8E51"/>
    <w:rsid w:val="69C76206"/>
    <w:rsid w:val="69E525D3"/>
    <w:rsid w:val="6A6A88CE"/>
    <w:rsid w:val="6B41F19E"/>
    <w:rsid w:val="6B63BEAE"/>
    <w:rsid w:val="6CC40164"/>
    <w:rsid w:val="6D05E979"/>
    <w:rsid w:val="6E6BAAF4"/>
    <w:rsid w:val="6F51BE89"/>
    <w:rsid w:val="7118C660"/>
    <w:rsid w:val="712D06C0"/>
    <w:rsid w:val="7136474C"/>
    <w:rsid w:val="71980AC5"/>
    <w:rsid w:val="73BC9E90"/>
    <w:rsid w:val="746275F1"/>
    <w:rsid w:val="74C197DE"/>
    <w:rsid w:val="75652413"/>
    <w:rsid w:val="7573E9C2"/>
    <w:rsid w:val="7770123F"/>
    <w:rsid w:val="786D1FB6"/>
    <w:rsid w:val="78BA9E44"/>
    <w:rsid w:val="7C209A51"/>
    <w:rsid w:val="7C5CE89E"/>
    <w:rsid w:val="7DA0C8D2"/>
    <w:rsid w:val="7DC82E2C"/>
    <w:rsid w:val="7E22E588"/>
    <w:rsid w:val="7F11A989"/>
    <w:rsid w:val="7F77A668"/>
    <w:rsid w:val="7F878FE4"/>
    <w:rsid w:val="7FD2A06D"/>
  </w:rsids>
  <m:mathPr>
    <m:mathFont m:val="Cambria Math"/>
    <m:brkBin m:val="before"/>
    <m:brkBinSub m:val="--"/>
    <m:smallFrac m:val="0"/>
    <m:dispDef/>
    <m:lMargin m:val="0"/>
    <m:rMargin m:val="0"/>
    <m:defJc m:val="centerGroup"/>
    <m:wrapIndent m:val="1440"/>
    <m:intLim m:val="subSup"/>
    <m:naryLim m:val="undOvr"/>
  </m:mathPr>
  <w:themeFontLang w:val="sl-SI"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53E770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Besedilo"/>
    <w:qFormat/>
    <w:rsid w:val="00363E63"/>
    <w:pPr>
      <w:spacing w:after="0" w:line="250" w:lineRule="atLeast"/>
      <w:jc w:val="both"/>
    </w:pPr>
    <w:rPr>
      <w:rFonts w:ascii="Myriad Pro" w:hAnsi="Myriad Pro"/>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497B"/>
    <w:pPr>
      <w:tabs>
        <w:tab w:val="center" w:pos="4536"/>
        <w:tab w:val="right" w:pos="9072"/>
      </w:tabs>
      <w:spacing w:line="240" w:lineRule="auto"/>
    </w:pPr>
  </w:style>
  <w:style w:type="character" w:customStyle="1" w:styleId="HeaderChar">
    <w:name w:val="Header Char"/>
    <w:basedOn w:val="DefaultParagraphFont"/>
    <w:link w:val="Header"/>
    <w:uiPriority w:val="99"/>
    <w:rsid w:val="0063497B"/>
  </w:style>
  <w:style w:type="paragraph" w:styleId="Footer">
    <w:name w:val="footer"/>
    <w:basedOn w:val="Normal"/>
    <w:link w:val="FooterChar"/>
    <w:uiPriority w:val="99"/>
    <w:unhideWhenUsed/>
    <w:rsid w:val="0063497B"/>
    <w:pPr>
      <w:tabs>
        <w:tab w:val="center" w:pos="4536"/>
        <w:tab w:val="right" w:pos="9072"/>
      </w:tabs>
      <w:spacing w:line="240" w:lineRule="auto"/>
    </w:pPr>
  </w:style>
  <w:style w:type="character" w:customStyle="1" w:styleId="FooterChar">
    <w:name w:val="Footer Char"/>
    <w:basedOn w:val="DefaultParagraphFont"/>
    <w:link w:val="Footer"/>
    <w:uiPriority w:val="99"/>
    <w:rsid w:val="0063497B"/>
  </w:style>
  <w:style w:type="paragraph" w:styleId="NoSpacing">
    <w:name w:val="No Spacing"/>
    <w:uiPriority w:val="1"/>
    <w:qFormat/>
    <w:rsid w:val="00887D7E"/>
    <w:pPr>
      <w:spacing w:after="0" w:line="240" w:lineRule="auto"/>
    </w:pPr>
    <w:rPr>
      <w:rFonts w:ascii="Myriad Pro" w:hAnsi="Myriad Pro"/>
    </w:rPr>
  </w:style>
  <w:style w:type="paragraph" w:customStyle="1" w:styleId="Naslov11">
    <w:name w:val="Naslov 11"/>
    <w:basedOn w:val="Normal"/>
    <w:link w:val="Naslov1Char"/>
    <w:qFormat/>
    <w:rsid w:val="00812D81"/>
    <w:pPr>
      <w:spacing w:line="360" w:lineRule="exact"/>
    </w:pPr>
    <w:rPr>
      <w:b/>
      <w:sz w:val="32"/>
      <w:szCs w:val="36"/>
    </w:rPr>
  </w:style>
  <w:style w:type="paragraph" w:customStyle="1" w:styleId="Naslov21">
    <w:name w:val="Naslov 21"/>
    <w:basedOn w:val="Normal"/>
    <w:link w:val="Naslov2Char"/>
    <w:qFormat/>
    <w:rsid w:val="00812D81"/>
    <w:pPr>
      <w:spacing w:line="360" w:lineRule="exact"/>
    </w:pPr>
    <w:rPr>
      <w:sz w:val="32"/>
      <w:szCs w:val="36"/>
    </w:rPr>
  </w:style>
  <w:style w:type="character" w:customStyle="1" w:styleId="Naslov1Char">
    <w:name w:val="Naslov 1 Char"/>
    <w:basedOn w:val="DefaultParagraphFont"/>
    <w:link w:val="Naslov11"/>
    <w:rsid w:val="00812D81"/>
    <w:rPr>
      <w:rFonts w:ascii="Myriad Pro" w:hAnsi="Myriad Pro"/>
      <w:b/>
      <w:sz w:val="32"/>
      <w:szCs w:val="36"/>
    </w:rPr>
  </w:style>
  <w:style w:type="paragraph" w:customStyle="1" w:styleId="Naslov31">
    <w:name w:val="Naslov 31"/>
    <w:basedOn w:val="Normal"/>
    <w:link w:val="Naslov3Char"/>
    <w:qFormat/>
    <w:rsid w:val="00671853"/>
    <w:rPr>
      <w:b/>
    </w:rPr>
  </w:style>
  <w:style w:type="character" w:customStyle="1" w:styleId="Naslov2Char">
    <w:name w:val="Naslov 2 Char"/>
    <w:basedOn w:val="DefaultParagraphFont"/>
    <w:link w:val="Naslov21"/>
    <w:rsid w:val="00812D81"/>
    <w:rPr>
      <w:rFonts w:ascii="Myriad Pro" w:hAnsi="Myriad Pro"/>
      <w:sz w:val="32"/>
      <w:szCs w:val="36"/>
    </w:rPr>
  </w:style>
  <w:style w:type="paragraph" w:customStyle="1" w:styleId="Dodatneinformacije">
    <w:name w:val="Dodatne informacije"/>
    <w:basedOn w:val="Normal"/>
    <w:link w:val="DodatneinformacijeChar"/>
    <w:qFormat/>
    <w:rsid w:val="00F41E1A"/>
  </w:style>
  <w:style w:type="character" w:customStyle="1" w:styleId="Naslov3Char">
    <w:name w:val="Naslov 3 Char"/>
    <w:basedOn w:val="DefaultParagraphFont"/>
    <w:link w:val="Naslov31"/>
    <w:rsid w:val="00671853"/>
    <w:rPr>
      <w:rFonts w:ascii="Myriad Pro" w:hAnsi="Myriad Pro"/>
      <w:b/>
      <w:sz w:val="21"/>
    </w:rPr>
  </w:style>
  <w:style w:type="paragraph" w:styleId="BalloonText">
    <w:name w:val="Balloon Text"/>
    <w:basedOn w:val="Normal"/>
    <w:link w:val="BalloonTextChar"/>
    <w:uiPriority w:val="99"/>
    <w:semiHidden/>
    <w:unhideWhenUsed/>
    <w:rsid w:val="00E02749"/>
    <w:pPr>
      <w:spacing w:line="240" w:lineRule="auto"/>
    </w:pPr>
    <w:rPr>
      <w:rFonts w:ascii="Segoe UI" w:hAnsi="Segoe UI" w:cs="Segoe UI"/>
      <w:sz w:val="18"/>
      <w:szCs w:val="18"/>
    </w:rPr>
  </w:style>
  <w:style w:type="character" w:customStyle="1" w:styleId="DodatneinformacijeChar">
    <w:name w:val="Dodatne informacije Char"/>
    <w:basedOn w:val="DefaultParagraphFont"/>
    <w:link w:val="Dodatneinformacije"/>
    <w:rsid w:val="00F41E1A"/>
    <w:rPr>
      <w:rFonts w:ascii="Myriad Pro" w:hAnsi="Myriad Pro"/>
      <w:sz w:val="21"/>
    </w:rPr>
  </w:style>
  <w:style w:type="character" w:customStyle="1" w:styleId="BalloonTextChar">
    <w:name w:val="Balloon Text Char"/>
    <w:basedOn w:val="DefaultParagraphFont"/>
    <w:link w:val="BalloonText"/>
    <w:uiPriority w:val="99"/>
    <w:semiHidden/>
    <w:rsid w:val="00E02749"/>
    <w:rPr>
      <w:rFonts w:ascii="Segoe UI" w:hAnsi="Segoe UI" w:cs="Segoe UI"/>
      <w:sz w:val="18"/>
      <w:szCs w:val="18"/>
    </w:rPr>
  </w:style>
  <w:style w:type="paragraph" w:customStyle="1" w:styleId="Uvod">
    <w:name w:val="Uvod"/>
    <w:basedOn w:val="Naslov31"/>
    <w:link w:val="UvodChar"/>
    <w:qFormat/>
    <w:rsid w:val="00E02749"/>
    <w:pPr>
      <w:spacing w:after="160"/>
    </w:pPr>
  </w:style>
  <w:style w:type="character" w:customStyle="1" w:styleId="UvodChar">
    <w:name w:val="Uvod Char"/>
    <w:basedOn w:val="Naslov3Char"/>
    <w:link w:val="Uvod"/>
    <w:rsid w:val="00E02749"/>
    <w:rPr>
      <w:rFonts w:ascii="Myriad Pro" w:hAnsi="Myriad Pro"/>
      <w:b/>
      <w:sz w:val="21"/>
    </w:rPr>
  </w:style>
  <w:style w:type="table" w:styleId="TableGrid">
    <w:name w:val="Table Grid"/>
    <w:basedOn w:val="TableNormal"/>
    <w:uiPriority w:val="39"/>
    <w:rsid w:val="006E1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DF4F0B"/>
    <w:pPr>
      <w:ind w:left="720"/>
      <w:contextualSpacing/>
    </w:pPr>
  </w:style>
  <w:style w:type="paragraph" w:customStyle="1" w:styleId="Besedilomanjealineje">
    <w:name w:val="Besedilo manjše_alineje"/>
    <w:basedOn w:val="ListParagraph"/>
    <w:link w:val="BesedilomanjealinejeChar"/>
    <w:rsid w:val="00F545EF"/>
    <w:pPr>
      <w:numPr>
        <w:numId w:val="1"/>
      </w:numPr>
      <w:spacing w:line="220" w:lineRule="exact"/>
      <w:ind w:left="170" w:hanging="170"/>
      <w:jc w:val="left"/>
    </w:pPr>
    <w:rPr>
      <w:sz w:val="16"/>
      <w:szCs w:val="16"/>
    </w:rPr>
  </w:style>
  <w:style w:type="character" w:customStyle="1" w:styleId="ListParagraphChar">
    <w:name w:val="List Paragraph Char"/>
    <w:basedOn w:val="DefaultParagraphFont"/>
    <w:link w:val="ListParagraph"/>
    <w:uiPriority w:val="34"/>
    <w:rsid w:val="00133E20"/>
    <w:rPr>
      <w:rFonts w:ascii="Myriad Pro" w:hAnsi="Myriad Pro"/>
      <w:sz w:val="21"/>
    </w:rPr>
  </w:style>
  <w:style w:type="character" w:customStyle="1" w:styleId="BesedilomanjealinejeChar">
    <w:name w:val="Besedilo manjše_alineje Char"/>
    <w:basedOn w:val="ListParagraphChar"/>
    <w:link w:val="Besedilomanjealineje"/>
    <w:rsid w:val="00F545EF"/>
    <w:rPr>
      <w:rFonts w:ascii="Myriad Pro" w:hAnsi="Myriad Pro"/>
      <w:sz w:val="16"/>
      <w:szCs w:val="16"/>
    </w:rPr>
  </w:style>
  <w:style w:type="character" w:styleId="Hyperlink">
    <w:name w:val="Hyperlink"/>
    <w:basedOn w:val="DefaultParagraphFont"/>
    <w:uiPriority w:val="99"/>
    <w:unhideWhenUsed/>
    <w:rsid w:val="00363E63"/>
    <w:rPr>
      <w:color w:val="0563C1" w:themeColor="hyperlink"/>
      <w:u w:val="single"/>
    </w:rPr>
  </w:style>
  <w:style w:type="paragraph" w:styleId="FootnoteText">
    <w:name w:val="footnote text"/>
    <w:aliases w:val="Sprotna opomba_EO, Char Char,Char Char,Sprotna opomba-besedilo,Char Char Char Char,Sprotna opomba - besedilo Znak1,Sprotna opomba - besedilo Znak Znak2,Sprotna opomba - besedilo Znak1 Znak Znak1,fn,Char Ch,o"/>
    <w:basedOn w:val="Normal"/>
    <w:link w:val="FootnoteTextChar"/>
    <w:uiPriority w:val="99"/>
    <w:unhideWhenUsed/>
    <w:qFormat/>
    <w:rsid w:val="00FE7254"/>
    <w:pPr>
      <w:spacing w:line="240" w:lineRule="auto"/>
    </w:pPr>
    <w:rPr>
      <w:sz w:val="16"/>
      <w:szCs w:val="20"/>
    </w:rPr>
  </w:style>
  <w:style w:type="character" w:customStyle="1" w:styleId="FootnoteTextChar">
    <w:name w:val="Footnote Text Char"/>
    <w:aliases w:val="Sprotna opomba_EO Char, Char Char Char,Char Char Char,Sprotna opomba-besedilo Char,Char Char Char Char Char,Sprotna opomba - besedilo Znak1 Char,Sprotna opomba - besedilo Znak Znak2 Char,Sprotna opomba - besedilo Znak1 Znak Znak1 Char"/>
    <w:basedOn w:val="DefaultParagraphFont"/>
    <w:link w:val="FootnoteText"/>
    <w:uiPriority w:val="99"/>
    <w:rsid w:val="00FE7254"/>
    <w:rPr>
      <w:rFonts w:ascii="Myriad Pro" w:hAnsi="Myriad Pro"/>
      <w:sz w:val="16"/>
      <w:szCs w:val="20"/>
    </w:rPr>
  </w:style>
  <w:style w:type="character" w:styleId="FootnoteReference">
    <w:name w:val="footnote reference"/>
    <w:aliases w:val="footnote_EO,Footnote symbol,Fussnota,Footnote,Footnote reference number,note TESI,SUPERS,EN Footnote Reference,-E Fußnotenzeichen,Times 10 Point,Exposant 3 Point,E...,nota de rodapé,Footnote Reference_LVL6,Footnote Reference_LVL61"/>
    <w:basedOn w:val="DefaultParagraphFont"/>
    <w:uiPriority w:val="99"/>
    <w:unhideWhenUsed/>
    <w:qFormat/>
    <w:rsid w:val="00FE7254"/>
    <w:rPr>
      <w:vertAlign w:val="superscript"/>
    </w:rPr>
  </w:style>
  <w:style w:type="character" w:styleId="UnresolvedMention">
    <w:name w:val="Unresolved Mention"/>
    <w:basedOn w:val="DefaultParagraphFont"/>
    <w:uiPriority w:val="99"/>
    <w:semiHidden/>
    <w:unhideWhenUsed/>
    <w:rsid w:val="003A49D8"/>
    <w:rPr>
      <w:color w:val="605E5C"/>
      <w:shd w:val="clear" w:color="auto" w:fill="E1DFDD"/>
    </w:rPr>
  </w:style>
  <w:style w:type="paragraph" w:customStyle="1" w:styleId="Naslov310">
    <w:name w:val="Naslov 310"/>
    <w:basedOn w:val="Normal"/>
    <w:qFormat/>
    <w:rsid w:val="00120162"/>
    <w:rPr>
      <w:b/>
    </w:rPr>
  </w:style>
  <w:style w:type="character" w:styleId="CommentReference">
    <w:name w:val="annotation reference"/>
    <w:basedOn w:val="DefaultParagraphFont"/>
    <w:uiPriority w:val="99"/>
    <w:semiHidden/>
    <w:unhideWhenUsed/>
    <w:rsid w:val="002B67C9"/>
    <w:rPr>
      <w:sz w:val="16"/>
      <w:szCs w:val="16"/>
    </w:rPr>
  </w:style>
  <w:style w:type="paragraph" w:styleId="CommentText">
    <w:name w:val="annotation text"/>
    <w:basedOn w:val="Normal"/>
    <w:link w:val="CommentTextChar"/>
    <w:uiPriority w:val="99"/>
    <w:semiHidden/>
    <w:unhideWhenUsed/>
    <w:rsid w:val="002B67C9"/>
    <w:pPr>
      <w:spacing w:line="240" w:lineRule="auto"/>
    </w:pPr>
    <w:rPr>
      <w:szCs w:val="20"/>
    </w:rPr>
  </w:style>
  <w:style w:type="character" w:customStyle="1" w:styleId="CommentTextChar">
    <w:name w:val="Comment Text Char"/>
    <w:basedOn w:val="DefaultParagraphFont"/>
    <w:link w:val="CommentText"/>
    <w:uiPriority w:val="99"/>
    <w:semiHidden/>
    <w:rsid w:val="002B67C9"/>
    <w:rPr>
      <w:rFonts w:ascii="Myriad Pro" w:hAnsi="Myriad Pro"/>
      <w:sz w:val="20"/>
      <w:szCs w:val="20"/>
    </w:rPr>
  </w:style>
  <w:style w:type="paragraph" w:styleId="CommentSubject">
    <w:name w:val="annotation subject"/>
    <w:basedOn w:val="CommentText"/>
    <w:next w:val="CommentText"/>
    <w:link w:val="CommentSubjectChar"/>
    <w:uiPriority w:val="99"/>
    <w:semiHidden/>
    <w:unhideWhenUsed/>
    <w:rsid w:val="002B67C9"/>
    <w:rPr>
      <w:b/>
      <w:bCs/>
    </w:rPr>
  </w:style>
  <w:style w:type="character" w:customStyle="1" w:styleId="CommentSubjectChar">
    <w:name w:val="Comment Subject Char"/>
    <w:basedOn w:val="CommentTextChar"/>
    <w:link w:val="CommentSubject"/>
    <w:uiPriority w:val="99"/>
    <w:semiHidden/>
    <w:rsid w:val="002B67C9"/>
    <w:rPr>
      <w:rFonts w:ascii="Myriad Pro" w:hAnsi="Myriad Pro"/>
      <w:b/>
      <w:bCs/>
      <w:sz w:val="20"/>
      <w:szCs w:val="20"/>
    </w:rPr>
  </w:style>
  <w:style w:type="paragraph" w:styleId="Revision">
    <w:name w:val="Revision"/>
    <w:hidden/>
    <w:uiPriority w:val="99"/>
    <w:semiHidden/>
    <w:rsid w:val="003D0FA7"/>
    <w:pPr>
      <w:spacing w:after="0" w:line="240" w:lineRule="auto"/>
    </w:pPr>
    <w:rPr>
      <w:rFonts w:ascii="Myriad Pro" w:hAnsi="Myriad Pro"/>
      <w:sz w:val="20"/>
    </w:rPr>
  </w:style>
  <w:style w:type="character" w:styleId="EndnoteReference">
    <w:name w:val="endnote reference"/>
    <w:basedOn w:val="DefaultParagraphFont"/>
    <w:uiPriority w:val="99"/>
    <w:semiHidden/>
    <w:unhideWhenUsed/>
    <w:rsid w:val="000C5DFC"/>
    <w:rPr>
      <w:vertAlign w:val="superscript"/>
    </w:rPr>
  </w:style>
  <w:style w:type="paragraph" w:customStyle="1" w:styleId="Naslov32">
    <w:name w:val="Naslov 32"/>
    <w:basedOn w:val="Normal"/>
    <w:qFormat/>
    <w:rsid w:val="0078321F"/>
    <w:rPr>
      <w:b/>
    </w:rPr>
  </w:style>
  <w:style w:type="character" w:styleId="Strong">
    <w:name w:val="Strong"/>
    <w:basedOn w:val="DefaultParagraphFont"/>
    <w:uiPriority w:val="22"/>
    <w:qFormat/>
    <w:rsid w:val="00BA0F00"/>
    <w:rPr>
      <w:b/>
      <w:bCs/>
    </w:rPr>
  </w:style>
  <w:style w:type="character" w:customStyle="1" w:styleId="normaltextrun">
    <w:name w:val="normaltextrun"/>
    <w:basedOn w:val="DefaultParagraphFont"/>
    <w:rsid w:val="00947026"/>
  </w:style>
  <w:style w:type="character" w:customStyle="1" w:styleId="VodilnistavekUMAR">
    <w:name w:val="Vodilni stavek_UMAR"/>
    <w:basedOn w:val="DefaultParagraphFont"/>
    <w:qFormat/>
    <w:rsid w:val="00947026"/>
    <w:rPr>
      <w:b/>
    </w:rPr>
  </w:style>
  <w:style w:type="character" w:styleId="Emphasis">
    <w:name w:val="Emphasis"/>
    <w:basedOn w:val="DefaultParagraphFont"/>
    <w:uiPriority w:val="20"/>
    <w:qFormat/>
    <w:rsid w:val="00FA545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6.emf"/><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mailto:polona.osrajnik@gov.si"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polona.osrajnik@gov.s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UMAR tema_word">
  <a:themeElements>
    <a:clrScheme name="UMAR barve">
      <a:dk1>
        <a:sysClr val="windowText" lastClr="000000"/>
      </a:dk1>
      <a:lt1>
        <a:sysClr val="window" lastClr="FFFFFF"/>
      </a:lt1>
      <a:dk2>
        <a:srgbClr val="44546A"/>
      </a:dk2>
      <a:lt2>
        <a:srgbClr val="DBDBDB"/>
      </a:lt2>
      <a:accent1>
        <a:srgbClr val="9E001A"/>
      </a:accent1>
      <a:accent2>
        <a:srgbClr val="D99694"/>
      </a:accent2>
      <a:accent3>
        <a:srgbClr val="A6A6A6"/>
      </a:accent3>
      <a:accent4>
        <a:srgbClr val="54A4A3"/>
      </a:accent4>
      <a:accent5>
        <a:srgbClr val="BBD2B0"/>
      </a:accent5>
      <a:accent6>
        <a:srgbClr val="6F3B66"/>
      </a:accent6>
      <a:hlink>
        <a:srgbClr val="0563C1"/>
      </a:hlink>
      <a:folHlink>
        <a:srgbClr val="954F72"/>
      </a:folHlink>
    </a:clrScheme>
    <a:fontScheme name="UMAR pisav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F2B7E9-B480-4FD2-833D-A96A093D0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612</Words>
  <Characters>3494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2023-02-27T13:01:00Z</dcterms:created>
  <dcterms:modified xsi:type="dcterms:W3CDTF">2023-02-27T13:02:00Z</dcterms:modified>
</cp:coreProperties>
</file>