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46E0CB42" w:rsidR="001D6793" w:rsidRDefault="00FA45E3" w:rsidP="001D6793">
      <w:pPr>
        <w:pStyle w:val="Naslov21"/>
      </w:pPr>
      <w:r>
        <w:t>13–17 November 2023</w:t>
      </w:r>
    </w:p>
    <w:p w14:paraId="196DFF85" w14:textId="7115D3E9" w:rsidR="00916FC4" w:rsidRDefault="00916FC4"/>
    <w:p w14:paraId="6D6F8256" w14:textId="77777777" w:rsidR="00A64DA4" w:rsidRDefault="00A64DA4"/>
    <w:p w14:paraId="477FFD17" w14:textId="18885FD1" w:rsidR="008C3D66" w:rsidRPr="00106064" w:rsidRDefault="00133154" w:rsidP="00151918">
      <w:pPr>
        <w:pStyle w:val="Dodatneinformacije"/>
        <w:rPr>
          <w:rFonts w:eastAsia="Myriad Pro"/>
        </w:rPr>
      </w:pPr>
      <w:r>
        <w:t xml:space="preserve">Real GDP fell in the third quarter compared to the second quarter (by 0.2%), but was higher year-on-year (by 1.1%), partly due to last year’s lower base. Year-on-year growth was driven by construction investment and government consumption and by some service activities. Household consumption declined slightly year-on-year, while international trade, particularly trade in goods, recorded a larger decline. Construction activity picked up considerably in September with the recovery from the August floods and was significantly higher in the third quarter than in the same period last year. </w:t>
      </w:r>
      <w:r>
        <w:rPr>
          <w:color w:val="000000" w:themeColor="text1"/>
        </w:rPr>
        <w:t xml:space="preserve">Year-on-year growth in the number of persons in employment in construction continued to slow in September, which, together with a fall in the number of persons in employment in manufacturing, contributed to a further decline in year-on-year growth in the total number of persons in employment (0.9%). </w:t>
      </w:r>
      <w:r>
        <w:t xml:space="preserve">Electricity consumption in the distribution network was lower year-on-year in October, </w:t>
      </w:r>
      <w:r w:rsidR="00CB54D8">
        <w:t>with a less pronounced</w:t>
      </w:r>
      <w:r w:rsidR="00FB5642">
        <w:t xml:space="preserve"> </w:t>
      </w:r>
      <w:r>
        <w:t xml:space="preserve">decline in industrial consumption  than in previous months. </w:t>
      </w:r>
      <w:r>
        <w:rPr>
          <w:shd w:val="clear" w:color="auto" w:fill="FFFFFF"/>
        </w:rPr>
        <w:t xml:space="preserve">The nominal value of fiscally verified invoices at the beginning of November increased by 5% year-on-year. </w:t>
      </w:r>
      <w:r>
        <w:t xml:space="preserve">Turnover growth in trade, which accounts for the bulk of the total value of fiscally verified invoices, accelerated again, </w:t>
      </w:r>
      <w:r w:rsidR="00274C54">
        <w:rPr>
          <w:bCs/>
        </w:rPr>
        <w:t>partly</w:t>
      </w:r>
      <w:r w:rsidR="00274C54" w:rsidRPr="002E5FE3">
        <w:rPr>
          <w:bCs/>
        </w:rPr>
        <w:t xml:space="preserve"> due to the difference in the timing of the last working day before the holidays this year and last year</w:t>
      </w:r>
      <w:r>
        <w:t>. In the third quarter, the current account of the balance of payments showed a surplus again, which was mainly due to the goods trade balance.</w:t>
      </w:r>
    </w:p>
    <w:p w14:paraId="141E7FB4" w14:textId="77777777" w:rsidR="00A64DA4" w:rsidRPr="00106064" w:rsidRDefault="00A64DA4" w:rsidP="00151918">
      <w:pPr>
        <w:pStyle w:val="Dodatneinformacije"/>
      </w:pPr>
    </w:p>
    <w:p w14:paraId="5C316BF9" w14:textId="77777777" w:rsidR="00BB76C2" w:rsidRDefault="00BB76C2" w:rsidP="00151918">
      <w:pPr>
        <w:pStyle w:val="Dodatneinformacije"/>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170366" w:rsidRPr="006C2117" w14:paraId="3F0A8717" w14:textId="77777777" w:rsidTr="07239B3B">
        <w:trPr>
          <w:trHeight w:val="207"/>
        </w:trPr>
        <w:tc>
          <w:tcPr>
            <w:tcW w:w="4819" w:type="dxa"/>
            <w:tcBorders>
              <w:bottom w:val="single" w:sz="4" w:space="0" w:color="auto"/>
            </w:tcBorders>
            <w:tcMar>
              <w:left w:w="0" w:type="dxa"/>
            </w:tcMar>
          </w:tcPr>
          <w:p w14:paraId="719A4B7E" w14:textId="036ACB5E" w:rsidR="00170366" w:rsidRPr="006C2117" w:rsidRDefault="00170366">
            <w:pPr>
              <w:pStyle w:val="Naslov31"/>
              <w:jc w:val="left"/>
            </w:pPr>
            <w:r>
              <w:t>Gross domestic product, Q3 2023</w:t>
            </w:r>
          </w:p>
        </w:tc>
        <w:tc>
          <w:tcPr>
            <w:tcW w:w="4820" w:type="dxa"/>
            <w:gridSpan w:val="2"/>
            <w:tcBorders>
              <w:bottom w:val="single" w:sz="4" w:space="0" w:color="auto"/>
            </w:tcBorders>
          </w:tcPr>
          <w:p w14:paraId="474F0F4B" w14:textId="77777777" w:rsidR="00170366" w:rsidRPr="006C2117" w:rsidRDefault="00170366">
            <w:pPr>
              <w:pStyle w:val="Naslov31"/>
            </w:pPr>
          </w:p>
        </w:tc>
      </w:tr>
      <w:tr w:rsidR="00170366" w:rsidRPr="00DF4F0B" w14:paraId="035ADE68" w14:textId="77777777" w:rsidTr="07239B3B">
        <w:trPr>
          <w:trHeight w:val="1134"/>
        </w:trPr>
        <w:tc>
          <w:tcPr>
            <w:tcW w:w="4982" w:type="dxa"/>
            <w:gridSpan w:val="2"/>
            <w:tcBorders>
              <w:top w:val="single" w:sz="4" w:space="0" w:color="auto"/>
            </w:tcBorders>
            <w:tcMar>
              <w:left w:w="0" w:type="dxa"/>
            </w:tcMar>
          </w:tcPr>
          <w:p w14:paraId="11ED44D7" w14:textId="10C2CDE5" w:rsidR="00170366" w:rsidRDefault="009145DE">
            <w:pPr>
              <w:pStyle w:val="ListParagraph"/>
              <w:ind w:left="0"/>
            </w:pPr>
            <w:r>
              <w:rPr>
                <w:noProof/>
              </w:rPr>
              <w:drawing>
                <wp:inline distT="0" distB="0" distL="0" distR="0" wp14:anchorId="2FB1D945" wp14:editId="1C6187B6">
                  <wp:extent cx="3092400" cy="2530800"/>
                  <wp:effectExtent l="0" t="0" r="0" b="3175"/>
                  <wp:docPr id="197074028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p w14:paraId="5676AA85" w14:textId="77777777" w:rsidR="00170366" w:rsidRDefault="00170366">
            <w:pPr>
              <w:pStyle w:val="ListParagraph"/>
              <w:ind w:left="0"/>
            </w:pPr>
          </w:p>
          <w:p w14:paraId="217895EC" w14:textId="77777777" w:rsidR="00170366" w:rsidRDefault="00170366">
            <w:pPr>
              <w:pStyle w:val="ListParagraph"/>
              <w:ind w:left="0"/>
            </w:pPr>
          </w:p>
          <w:p w14:paraId="2A1C3DE7" w14:textId="77777777" w:rsidR="00170366" w:rsidRDefault="00170366">
            <w:pPr>
              <w:pStyle w:val="ListParagraph"/>
              <w:ind w:left="0"/>
            </w:pPr>
          </w:p>
          <w:p w14:paraId="187F7F1E" w14:textId="77777777" w:rsidR="00170366" w:rsidRDefault="00170366">
            <w:pPr>
              <w:pStyle w:val="ListParagraph"/>
              <w:ind w:left="0"/>
            </w:pPr>
          </w:p>
          <w:p w14:paraId="6E3C5E37" w14:textId="77777777" w:rsidR="00170366" w:rsidRDefault="00170366">
            <w:pPr>
              <w:pStyle w:val="ListParagraph"/>
              <w:ind w:left="0"/>
            </w:pPr>
          </w:p>
          <w:p w14:paraId="1CF7464A" w14:textId="77777777" w:rsidR="00170366" w:rsidRDefault="00170366">
            <w:pPr>
              <w:pStyle w:val="ListParagraph"/>
              <w:ind w:left="0"/>
            </w:pPr>
          </w:p>
        </w:tc>
        <w:tc>
          <w:tcPr>
            <w:tcW w:w="4657" w:type="dxa"/>
            <w:tcBorders>
              <w:top w:val="single" w:sz="4" w:space="0" w:color="auto"/>
            </w:tcBorders>
            <w:tcMar>
              <w:left w:w="284" w:type="dxa"/>
            </w:tcMar>
          </w:tcPr>
          <w:p w14:paraId="3B94F929" w14:textId="75EB13CD" w:rsidR="009E630F" w:rsidRPr="009E630F" w:rsidRDefault="009E630F" w:rsidP="009E630F">
            <w:r w:rsidRPr="07239B3B">
              <w:rPr>
                <w:b/>
                <w:bCs/>
              </w:rPr>
              <w:t>In the third quarter of 2023, real gross domestic product (GDP) fell by 0.2% quarter-on-quarter, while it increased by 1.1% year-on-year (not seasonally adjusted).</w:t>
            </w:r>
            <w:r>
              <w:t xml:space="preserve"> Year-on-year growth was driven by construction investment and government consumption and by some service activities. After household consumption had risen in the first half of the year, it fell year-on-year. International trade, particularly in goods, also declined year-on-year. The decline in imports was stronger than that in exports, as the latter was affected by the continued year-on-year fall in domestic consumption. The contribution of the </w:t>
            </w:r>
            <w:r w:rsidR="4DB01F25">
              <w:t xml:space="preserve">external </w:t>
            </w:r>
            <w:r>
              <w:t xml:space="preserve">trade balance </w:t>
            </w:r>
            <w:r w:rsidR="5A0386DA">
              <w:t xml:space="preserve">of goods and services </w:t>
            </w:r>
            <w:r>
              <w:t>was thus again highly positive, at 2.4 p.p. Value added in the predominantly export-oriented manufacturing activities remained unchanged year-on-year.</w:t>
            </w:r>
          </w:p>
          <w:p w14:paraId="55504459" w14:textId="3D01A2CE" w:rsidR="00170366" w:rsidRPr="00DF4F0B" w:rsidRDefault="00170366" w:rsidP="00A42EA6"/>
        </w:tc>
      </w:tr>
    </w:tbl>
    <w:p w14:paraId="24A2C359" w14:textId="7A6908FC" w:rsidR="008B464B" w:rsidRDefault="008B464B" w:rsidP="001C5031">
      <w:pPr>
        <w:spacing w:after="160" w:line="259" w:lineRule="auto"/>
        <w:jc w:val="left"/>
      </w:pPr>
    </w:p>
    <w:p w14:paraId="2A8AA6A8" w14:textId="77777777" w:rsidR="008B464B" w:rsidRDefault="008B464B">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384"/>
        <w:gridCol w:w="2273"/>
      </w:tblGrid>
      <w:tr w:rsidR="008B464B" w:rsidRPr="007A0B59" w14:paraId="03A92DE5" w14:textId="77777777">
        <w:trPr>
          <w:trHeight w:val="207"/>
        </w:trPr>
        <w:tc>
          <w:tcPr>
            <w:tcW w:w="7366" w:type="dxa"/>
            <w:gridSpan w:val="2"/>
            <w:tcBorders>
              <w:bottom w:val="single" w:sz="4" w:space="0" w:color="auto"/>
            </w:tcBorders>
            <w:tcMar>
              <w:left w:w="0" w:type="dxa"/>
            </w:tcMar>
          </w:tcPr>
          <w:p w14:paraId="485801A3" w14:textId="3D6B6074" w:rsidR="008B464B" w:rsidRPr="007A0B59" w:rsidRDefault="008B464B">
            <w:pPr>
              <w:pStyle w:val="Naslov31"/>
              <w:jc w:val="left"/>
            </w:pPr>
            <w:r>
              <w:lastRenderedPageBreak/>
              <w:t xml:space="preserve">Value of fiscally verified invoices, in nominal terms, 29 October–11 November 2023 </w:t>
            </w:r>
          </w:p>
        </w:tc>
        <w:tc>
          <w:tcPr>
            <w:tcW w:w="2273" w:type="dxa"/>
            <w:tcBorders>
              <w:bottom w:val="single" w:sz="4" w:space="0" w:color="auto"/>
            </w:tcBorders>
          </w:tcPr>
          <w:p w14:paraId="73439B49" w14:textId="77777777" w:rsidR="008B464B" w:rsidRPr="0066117E" w:rsidRDefault="008B464B">
            <w:pPr>
              <w:pStyle w:val="Naslov31"/>
              <w:rPr>
                <w:highlight w:val="green"/>
              </w:rPr>
            </w:pPr>
          </w:p>
        </w:tc>
      </w:tr>
      <w:tr w:rsidR="008B464B" w:rsidRPr="00916FC4" w14:paraId="3B88DA1E" w14:textId="77777777">
        <w:trPr>
          <w:trHeight w:val="3353"/>
        </w:trPr>
        <w:tc>
          <w:tcPr>
            <w:tcW w:w="4982" w:type="dxa"/>
            <w:tcBorders>
              <w:top w:val="single" w:sz="4" w:space="0" w:color="auto"/>
            </w:tcBorders>
            <w:tcMar>
              <w:left w:w="0" w:type="dxa"/>
            </w:tcMar>
          </w:tcPr>
          <w:p w14:paraId="0C524CBD" w14:textId="73AC7D84" w:rsidR="008B464B" w:rsidRDefault="009145DE">
            <w:pPr>
              <w:pStyle w:val="ListParagraph"/>
              <w:ind w:left="0"/>
            </w:pPr>
            <w:r>
              <w:rPr>
                <w:noProof/>
              </w:rPr>
              <w:drawing>
                <wp:inline distT="0" distB="0" distL="0" distR="0" wp14:anchorId="517B2A27" wp14:editId="3B58325B">
                  <wp:extent cx="3096000" cy="2530800"/>
                  <wp:effectExtent l="0" t="0" r="0" b="3175"/>
                  <wp:docPr id="46342628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112DBD9" w14:textId="7A37D78C" w:rsidR="008B464B" w:rsidRPr="00074B13" w:rsidRDefault="008B464B">
            <w:pPr>
              <w:rPr>
                <w:b/>
                <w:bCs/>
              </w:rPr>
            </w:pPr>
            <w:r>
              <w:rPr>
                <w:b/>
                <w:shd w:val="clear" w:color="auto" w:fill="FFFFFF"/>
              </w:rPr>
              <w:t>The nominal value of fiscally verified invoices between 29 October and 11 November 2023 was 5% higher year-on-year.</w:t>
            </w:r>
            <w:r>
              <w:rPr>
                <w:shd w:val="clear" w:color="auto" w:fill="FFFFFF"/>
              </w:rPr>
              <w:t xml:space="preserve"> The year-on-year turnover growth in the last two 14-day periods fluctuated significantly partly due to the difference in the timing of the last working day before the holidays this year and last year (Monday, 30 October this year).</w:t>
            </w:r>
            <w:r>
              <w:t xml:space="preserve"> Growth of turnover in trade, which accounted for almost 80% of the total value of fiscally verified invoices, rose again, to 7%, after halving in the previous 14-day period.</w:t>
            </w:r>
            <w:r>
              <w:rPr>
                <w:shd w:val="clear" w:color="auto" w:fill="FFFFFF"/>
              </w:rPr>
              <w:t xml:space="preserve"> Year-on-year turnover growth slowed in accommodation and food service activities and certain creative, arts, entertainment, and sports services and betting and gambling (overall growth in accommodation and food service activities and in other service activities</w:t>
            </w:r>
            <w:r w:rsidRPr="00D85756">
              <w:rPr>
                <w:shd w:val="clear" w:color="auto" w:fill="FFFFFF"/>
                <w:vertAlign w:val="superscript"/>
              </w:rPr>
              <w:footnoteReference w:id="2"/>
            </w:r>
            <w:r>
              <w:rPr>
                <w:shd w:val="clear" w:color="auto" w:fill="FFFFFF"/>
              </w:rPr>
              <w:t xml:space="preserve"> fell from 5% to 3%).</w:t>
            </w:r>
            <w:r>
              <w:rPr>
                <w:b/>
                <w:color w:val="DBDBDB" w:themeColor="background2"/>
                <w:shd w:val="clear" w:color="auto" w:fill="FFFFFF"/>
              </w:rPr>
              <w:t xml:space="preserve"> </w:t>
            </w:r>
          </w:p>
        </w:tc>
      </w:tr>
    </w:tbl>
    <w:p w14:paraId="3EF231C1" w14:textId="7814F545" w:rsidR="00BB76C2" w:rsidRDefault="00BB76C2" w:rsidP="001C5031">
      <w:pPr>
        <w:spacing w:after="160" w:line="259" w:lineRule="auto"/>
        <w:jc w:val="left"/>
      </w:pPr>
    </w:p>
    <w:p w14:paraId="31FEB816" w14:textId="77777777" w:rsidR="004C35C5" w:rsidRDefault="004C35C5" w:rsidP="001C5031">
      <w:pPr>
        <w:spacing w:after="160" w:line="259" w:lineRule="auto"/>
        <w:jc w:val="left"/>
      </w:pPr>
    </w:p>
    <w:tbl>
      <w:tblPr>
        <w:tblStyle w:val="Tabelamre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170366" w:rsidRPr="006E6F35" w14:paraId="7C33AD5F" w14:textId="77777777">
        <w:trPr>
          <w:trHeight w:val="207"/>
        </w:trPr>
        <w:tc>
          <w:tcPr>
            <w:tcW w:w="9639" w:type="dxa"/>
            <w:gridSpan w:val="2"/>
            <w:tcBorders>
              <w:bottom w:val="single" w:sz="4" w:space="0" w:color="auto"/>
            </w:tcBorders>
            <w:tcMar>
              <w:left w:w="0" w:type="dxa"/>
            </w:tcMar>
          </w:tcPr>
          <w:p w14:paraId="0C0D7AFB" w14:textId="643B820D" w:rsidR="00170366" w:rsidRPr="006E6F35" w:rsidRDefault="00170366">
            <w:pPr>
              <w:rPr>
                <w:b/>
              </w:rPr>
            </w:pPr>
            <w:r>
              <w:rPr>
                <w:b/>
              </w:rPr>
              <w:t>Electricity consumption by consumption group, October 2023</w:t>
            </w:r>
          </w:p>
        </w:tc>
      </w:tr>
      <w:tr w:rsidR="00170366" w:rsidRPr="006E6F35" w14:paraId="70ACD153" w14:textId="77777777">
        <w:trPr>
          <w:trHeight w:val="1134"/>
        </w:trPr>
        <w:tc>
          <w:tcPr>
            <w:tcW w:w="4982" w:type="dxa"/>
            <w:tcBorders>
              <w:top w:val="single" w:sz="4" w:space="0" w:color="auto"/>
            </w:tcBorders>
            <w:tcMar>
              <w:left w:w="0" w:type="dxa"/>
            </w:tcMar>
          </w:tcPr>
          <w:p w14:paraId="658F0C92" w14:textId="79C612B8" w:rsidR="00170366" w:rsidRPr="006E6F35" w:rsidRDefault="009145DE">
            <w:pPr>
              <w:contextualSpacing/>
            </w:pPr>
            <w:r>
              <w:rPr>
                <w:noProof/>
              </w:rPr>
              <w:drawing>
                <wp:inline distT="0" distB="0" distL="0" distR="0" wp14:anchorId="6025431C" wp14:editId="3EC91867">
                  <wp:extent cx="3092400" cy="2530800"/>
                  <wp:effectExtent l="0" t="0" r="0" b="3175"/>
                  <wp:docPr id="209670430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tcBorders>
              <w:top w:val="single" w:sz="4" w:space="0" w:color="auto"/>
            </w:tcBorders>
            <w:tcMar>
              <w:left w:w="284" w:type="dxa"/>
            </w:tcMar>
          </w:tcPr>
          <w:p w14:paraId="264F8F23" w14:textId="067CDA61" w:rsidR="00FD1EB6" w:rsidRPr="00FD1EB6" w:rsidRDefault="00FD1EB6" w:rsidP="00FD1EB6">
            <w:pPr>
              <w:rPr>
                <w:b/>
                <w:bCs/>
              </w:rPr>
            </w:pPr>
            <w:r>
              <w:rPr>
                <w:b/>
              </w:rPr>
              <w:t xml:space="preserve">Electricity consumption in the distribution network was lower year-on-year in October, but the decline was less pronounced than in previous months. </w:t>
            </w:r>
            <w:r>
              <w:t>Industrial consumption recorded a small year-on-year decline (3.7%), which was also due to one more working day this year and last year’s relatively low base. Household consumption fell by 5.1% year-on-year in October, while small business consumption</w:t>
            </w:r>
            <w:r w:rsidRPr="00FD1EB6">
              <w:rPr>
                <w:vertAlign w:val="superscript"/>
              </w:rPr>
              <w:footnoteReference w:id="3"/>
            </w:r>
            <w:r>
              <w:t xml:space="preserve"> fell by 1.7% year-on-year.</w:t>
            </w:r>
          </w:p>
          <w:p w14:paraId="3BE22F01" w14:textId="5533075B" w:rsidR="00170366" w:rsidRPr="0092788E" w:rsidRDefault="00170366">
            <w:pPr>
              <w:rPr>
                <w:color w:val="DBDBDB" w:themeColor="background2"/>
              </w:rPr>
            </w:pPr>
          </w:p>
          <w:p w14:paraId="6F321DC4" w14:textId="77777777" w:rsidR="00170366" w:rsidRPr="006E6F35" w:rsidRDefault="00170366"/>
        </w:tc>
      </w:tr>
    </w:tbl>
    <w:p w14:paraId="3F5CC49A" w14:textId="77777777" w:rsidR="00170366" w:rsidRDefault="00170366" w:rsidP="001C5031">
      <w:pPr>
        <w:spacing w:after="160" w:line="259" w:lineRule="auto"/>
        <w:jc w:val="left"/>
      </w:pPr>
    </w:p>
    <w:p w14:paraId="46C198BE" w14:textId="35F4C4EA" w:rsidR="00170366" w:rsidRDefault="00170366">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1"/>
        <w:gridCol w:w="202"/>
        <w:gridCol w:w="4536"/>
      </w:tblGrid>
      <w:tr w:rsidR="00EF40AD" w:rsidRPr="007A0B59" w14:paraId="101E023E" w14:textId="77777777">
        <w:trPr>
          <w:trHeight w:val="207"/>
        </w:trPr>
        <w:tc>
          <w:tcPr>
            <w:tcW w:w="5103" w:type="dxa"/>
            <w:gridSpan w:val="2"/>
            <w:tcBorders>
              <w:bottom w:val="single" w:sz="4" w:space="0" w:color="auto"/>
            </w:tcBorders>
            <w:tcMar>
              <w:left w:w="0" w:type="dxa"/>
            </w:tcMar>
          </w:tcPr>
          <w:p w14:paraId="1005FB85" w14:textId="77777777" w:rsidR="00EF40AD" w:rsidRPr="007A0B59" w:rsidRDefault="00EF40AD">
            <w:pPr>
              <w:pStyle w:val="Naslov31"/>
              <w:jc w:val="left"/>
            </w:pPr>
            <w:r>
              <w:lastRenderedPageBreak/>
              <w:t xml:space="preserve">Activity in construction, September 2023 </w:t>
            </w:r>
          </w:p>
        </w:tc>
        <w:tc>
          <w:tcPr>
            <w:tcW w:w="4536" w:type="dxa"/>
            <w:tcBorders>
              <w:bottom w:val="single" w:sz="4" w:space="0" w:color="auto"/>
            </w:tcBorders>
          </w:tcPr>
          <w:p w14:paraId="508EC4BA" w14:textId="77777777" w:rsidR="00EF40AD" w:rsidRPr="0066117E" w:rsidRDefault="00EF40AD">
            <w:pPr>
              <w:pStyle w:val="Naslov31"/>
              <w:rPr>
                <w:highlight w:val="green"/>
              </w:rPr>
            </w:pPr>
          </w:p>
        </w:tc>
      </w:tr>
      <w:tr w:rsidR="00EF40AD" w:rsidRPr="00916FC4" w14:paraId="3BBA3270" w14:textId="77777777" w:rsidTr="7063FE88">
        <w:trPr>
          <w:trHeight w:val="3353"/>
        </w:trPr>
        <w:tc>
          <w:tcPr>
            <w:tcW w:w="4901" w:type="dxa"/>
            <w:tcBorders>
              <w:top w:val="single" w:sz="4" w:space="0" w:color="auto"/>
            </w:tcBorders>
            <w:tcMar>
              <w:left w:w="0" w:type="dxa"/>
            </w:tcMar>
          </w:tcPr>
          <w:p w14:paraId="6A48C2DD" w14:textId="3821F856" w:rsidR="00EF40AD" w:rsidRDefault="001E0BCE">
            <w:pPr>
              <w:pStyle w:val="ListParagraph"/>
              <w:ind w:left="0"/>
            </w:pPr>
            <w:r>
              <w:rPr>
                <w:noProof/>
              </w:rPr>
              <w:drawing>
                <wp:inline distT="0" distB="0" distL="0" distR="0" wp14:anchorId="2F71483D" wp14:editId="0A40D72F">
                  <wp:extent cx="3096000" cy="2530800"/>
                  <wp:effectExtent l="0" t="0" r="0" b="3175"/>
                  <wp:docPr id="57187078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738" w:type="dxa"/>
            <w:gridSpan w:val="2"/>
            <w:tcBorders>
              <w:top w:val="single" w:sz="4" w:space="0" w:color="auto"/>
            </w:tcBorders>
            <w:tcMar>
              <w:left w:w="284" w:type="dxa"/>
            </w:tcMar>
          </w:tcPr>
          <w:p w14:paraId="754D3B30" w14:textId="5554F94A" w:rsidR="00EF40AD" w:rsidRPr="00FB639E" w:rsidRDefault="254D069E" w:rsidP="0EFA9CDA">
            <w:r>
              <w:rPr>
                <w:b/>
              </w:rPr>
              <w:t xml:space="preserve">According to data on the value of construction work put in place, construction activity increased in September and remained significantly higher than last year. </w:t>
            </w:r>
            <w:r>
              <w:t xml:space="preserve">After a sharp rise at the beginning of the year, activity fluctuated around the high level reached in the following months before rising further in September as a result of the post-flood recovery. Compared with the same period last year, the value of construction put in place rose by 23% in the third quarter. Activity in specialised construction and civil engineering increased by 27% and activity in building construction increased by 13%. </w:t>
            </w:r>
          </w:p>
          <w:p w14:paraId="3F924100" w14:textId="29B889E4" w:rsidR="00EF40AD" w:rsidRPr="00FB639E" w:rsidRDefault="254D069E">
            <w:pPr>
              <w:rPr>
                <w:color w:val="DBDBDB" w:themeColor="background2"/>
              </w:rPr>
            </w:pPr>
            <w:r>
              <w:t xml:space="preserve">However, some other data suggest significantly lower growth in construction activity. According to VAT data, activity of construction companies in the third quarter increased by 11% year-on-year. Based on data on the value of construction put in place, the difference in the growth of activity was 12 p.p. </w:t>
            </w:r>
          </w:p>
          <w:p w14:paraId="68D48333" w14:textId="77777777" w:rsidR="00EF40AD" w:rsidRPr="00074B13" w:rsidRDefault="00EF40AD">
            <w:pPr>
              <w:rPr>
                <w:b/>
                <w:bCs/>
              </w:rPr>
            </w:pPr>
          </w:p>
        </w:tc>
      </w:tr>
    </w:tbl>
    <w:p w14:paraId="5712532C" w14:textId="190C4377" w:rsidR="00EF40AD" w:rsidRDefault="00EF40AD" w:rsidP="001C5031">
      <w:pPr>
        <w:spacing w:after="160" w:line="259" w:lineRule="auto"/>
        <w:jc w:val="left"/>
      </w:pPr>
    </w:p>
    <w:p w14:paraId="2A1B0D26" w14:textId="77777777" w:rsidR="004D1F64" w:rsidRDefault="004D1F64" w:rsidP="001C5031">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4D1F64" w:rsidRPr="007A0B59" w14:paraId="7EE4CB93" w14:textId="77777777" w:rsidTr="3BC65A90">
        <w:trPr>
          <w:trHeight w:val="207"/>
        </w:trPr>
        <w:tc>
          <w:tcPr>
            <w:tcW w:w="5103" w:type="dxa"/>
            <w:gridSpan w:val="2"/>
            <w:tcBorders>
              <w:bottom w:val="single" w:sz="4" w:space="0" w:color="auto"/>
            </w:tcBorders>
            <w:tcMar>
              <w:left w:w="0" w:type="dxa"/>
            </w:tcMar>
          </w:tcPr>
          <w:p w14:paraId="6542F5AE" w14:textId="77777777" w:rsidR="004D1F64" w:rsidRPr="007A0B59" w:rsidRDefault="004D1F64">
            <w:pPr>
              <w:pStyle w:val="Naslov31"/>
              <w:jc w:val="left"/>
            </w:pPr>
            <w:r>
              <w:t xml:space="preserve">Number of persons in employment, September 2023 </w:t>
            </w:r>
          </w:p>
        </w:tc>
        <w:tc>
          <w:tcPr>
            <w:tcW w:w="4536" w:type="dxa"/>
            <w:tcBorders>
              <w:bottom w:val="single" w:sz="4" w:space="0" w:color="auto"/>
            </w:tcBorders>
          </w:tcPr>
          <w:p w14:paraId="54D8092C" w14:textId="77777777" w:rsidR="004D1F64" w:rsidRPr="0066117E" w:rsidRDefault="004D1F64">
            <w:pPr>
              <w:pStyle w:val="Naslov31"/>
              <w:rPr>
                <w:highlight w:val="green"/>
              </w:rPr>
            </w:pPr>
          </w:p>
        </w:tc>
      </w:tr>
      <w:tr w:rsidR="004D1F64" w:rsidRPr="00916FC4" w14:paraId="64CBE90F" w14:textId="77777777" w:rsidTr="3BC65A90">
        <w:trPr>
          <w:trHeight w:val="3353"/>
        </w:trPr>
        <w:tc>
          <w:tcPr>
            <w:tcW w:w="4982" w:type="dxa"/>
            <w:tcBorders>
              <w:top w:val="single" w:sz="4" w:space="0" w:color="auto"/>
            </w:tcBorders>
            <w:tcMar>
              <w:left w:w="0" w:type="dxa"/>
            </w:tcMar>
          </w:tcPr>
          <w:p w14:paraId="2A62CA81" w14:textId="67CF6AAC" w:rsidR="004D1F64" w:rsidRDefault="001E0BCE">
            <w:pPr>
              <w:pStyle w:val="ListParagraph"/>
              <w:ind w:left="0"/>
            </w:pPr>
            <w:r>
              <w:rPr>
                <w:noProof/>
              </w:rPr>
              <w:drawing>
                <wp:inline distT="0" distB="0" distL="0" distR="0" wp14:anchorId="59645C98" wp14:editId="1B3C4338">
                  <wp:extent cx="3092400" cy="2530800"/>
                  <wp:effectExtent l="0" t="0" r="0" b="3175"/>
                  <wp:docPr id="199764092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AFF7355" w14:textId="206CE659" w:rsidR="004D1F64" w:rsidRPr="00166B89" w:rsidRDefault="18C7643C" w:rsidP="3BC65A90">
            <w:pPr>
              <w:rPr>
                <w:color w:val="000000" w:themeColor="text1"/>
              </w:rPr>
            </w:pPr>
            <w:r>
              <w:rPr>
                <w:b/>
                <w:color w:val="000000" w:themeColor="text1"/>
              </w:rPr>
              <w:t xml:space="preserve">Year-on-year growth in the number of persons in employment (0.9%) continued to slow in September. </w:t>
            </w:r>
            <w:r>
              <w:rPr>
                <w:color w:val="000000" w:themeColor="text1"/>
              </w:rPr>
              <w:t>This was mainly due to a slowdown in year-on-year growth in construction and a decline in manufacturing. Growth was strongest in information and communication. With the number of Slovenians in employment declining slightly year-on-year, an increase in the number of foreign citizens in employment contributed to the overall year-on-year growth in the number of persons in employment in September. Their share among all persons in employment was 14.6% in September, 0.9 p.p. higher than a year earlier. Activities with the largest share of foreigners are construction (48%), transportation and storage (33%) and administrative and support service activities (27%).</w:t>
            </w:r>
          </w:p>
          <w:p w14:paraId="24F84DC3" w14:textId="77777777" w:rsidR="004D1F64" w:rsidRPr="0005768A" w:rsidRDefault="004D1F64">
            <w:pPr>
              <w:rPr>
                <w:bCs/>
                <w:color w:val="DBDBDB" w:themeColor="background2"/>
              </w:rPr>
            </w:pPr>
          </w:p>
        </w:tc>
      </w:tr>
    </w:tbl>
    <w:p w14:paraId="0684E854" w14:textId="643E6E6B" w:rsidR="00EF40AD" w:rsidRDefault="00EF40AD">
      <w:pPr>
        <w:spacing w:after="160" w:line="259" w:lineRule="auto"/>
        <w:jc w:val="left"/>
      </w:pPr>
    </w:p>
    <w:p w14:paraId="77C89682" w14:textId="0D584C26" w:rsidR="004D1F64" w:rsidRDefault="004D1F64">
      <w:pPr>
        <w:spacing w:after="160" w:line="259" w:lineRule="auto"/>
        <w:jc w:val="left"/>
      </w:pPr>
      <w:r>
        <w:br w:type="page"/>
      </w:r>
    </w:p>
    <w:tbl>
      <w:tblPr>
        <w:tblStyle w:val="Tabelamre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EF40AD" w:rsidRPr="006E6F35" w14:paraId="529CD674" w14:textId="77777777" w:rsidTr="4C22DB6D">
        <w:trPr>
          <w:trHeight w:val="207"/>
        </w:trPr>
        <w:tc>
          <w:tcPr>
            <w:tcW w:w="9639" w:type="dxa"/>
            <w:gridSpan w:val="2"/>
            <w:tcBorders>
              <w:bottom w:val="single" w:sz="4" w:space="0" w:color="auto"/>
            </w:tcBorders>
            <w:tcMar>
              <w:left w:w="0" w:type="dxa"/>
            </w:tcMar>
          </w:tcPr>
          <w:p w14:paraId="380929FE" w14:textId="0CF9C33F" w:rsidR="00EF40AD" w:rsidRPr="006E6F35" w:rsidRDefault="00EF40AD">
            <w:pPr>
              <w:rPr>
                <w:b/>
              </w:rPr>
            </w:pPr>
            <w:r>
              <w:rPr>
                <w:b/>
              </w:rPr>
              <w:lastRenderedPageBreak/>
              <w:t>Current account of the balance of payments, September 2023</w:t>
            </w:r>
          </w:p>
        </w:tc>
      </w:tr>
      <w:tr w:rsidR="00EF40AD" w:rsidRPr="006E6F35" w14:paraId="5D608289" w14:textId="77777777" w:rsidTr="4C22DB6D">
        <w:trPr>
          <w:trHeight w:val="1134"/>
        </w:trPr>
        <w:tc>
          <w:tcPr>
            <w:tcW w:w="4982" w:type="dxa"/>
            <w:tcBorders>
              <w:top w:val="single" w:sz="4" w:space="0" w:color="auto"/>
            </w:tcBorders>
            <w:tcMar>
              <w:left w:w="0" w:type="dxa"/>
            </w:tcMar>
          </w:tcPr>
          <w:p w14:paraId="65DC1088" w14:textId="6C20C012" w:rsidR="00EF40AD" w:rsidRPr="006E6F35" w:rsidRDefault="00EC3071">
            <w:pPr>
              <w:contextualSpacing/>
            </w:pPr>
            <w:r>
              <w:rPr>
                <w:noProof/>
              </w:rPr>
              <w:drawing>
                <wp:inline distT="0" distB="0" distL="0" distR="0" wp14:anchorId="6D7DBC8A" wp14:editId="1008D44E">
                  <wp:extent cx="3172570" cy="2548207"/>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2848" cy="2556462"/>
                          </a:xfrm>
                          <a:prstGeom prst="rect">
                            <a:avLst/>
                          </a:prstGeom>
                          <a:noFill/>
                        </pic:spPr>
                      </pic:pic>
                    </a:graphicData>
                  </a:graphic>
                </wp:inline>
              </w:drawing>
            </w:r>
          </w:p>
        </w:tc>
        <w:tc>
          <w:tcPr>
            <w:tcW w:w="4657" w:type="dxa"/>
            <w:tcBorders>
              <w:top w:val="single" w:sz="4" w:space="0" w:color="auto"/>
            </w:tcBorders>
            <w:tcMar>
              <w:left w:w="284" w:type="dxa"/>
            </w:tcMar>
          </w:tcPr>
          <w:p w14:paraId="4929A30A" w14:textId="56C5754D" w:rsidR="00EF40AD" w:rsidRPr="006E6F35" w:rsidRDefault="3B39B66C">
            <w:pPr>
              <w:rPr>
                <w:b/>
                <w:bCs/>
              </w:rPr>
            </w:pPr>
            <w:r w:rsidRPr="4C22DB6D">
              <w:rPr>
                <w:b/>
                <w:bCs/>
              </w:rPr>
              <w:t>The current account of the balance of payments recorded a surplus again in the third quarter of this year.</w:t>
            </w:r>
            <w:r>
              <w:t xml:space="preserve"> This was mainly due to the goods trade balance. Real exports of goods fell significantly year-on-year, imports even more sharply, while the terms of trade improved. We estimate that the quantity fluctuations contributed EUR 445 million to the year-on-year change in the balance of goods trade in the third quarter (EUR 484 million) and the terms of trade contributed EUR 39 million. The surplus in trade in services was lower year-on-year due to a lower surplus in trade in technical, trade-related services. The surplus in trade in transportation and travel was higher year-on-year. The primary income deficit was lower year-on-year in the third quarter, mainly due to lower net outflows of dividends and profits and higher net interest income from assets in debt instruments. The higher secondary income deficit was arising from lower net outflows of private and government sector transfers. The 12-month balance of the current account of the balance of payments showed a surplus of EUR 2.1 billion in September (3.3% of estimated GDP).</w:t>
            </w:r>
          </w:p>
        </w:tc>
      </w:tr>
    </w:tbl>
    <w:p w14:paraId="71B140A0" w14:textId="77777777" w:rsidR="00EF40AD" w:rsidRDefault="00EF40AD" w:rsidP="001C5031">
      <w:pPr>
        <w:spacing w:after="160" w:line="259" w:lineRule="auto"/>
        <w:jc w:val="left"/>
      </w:pPr>
    </w:p>
    <w:p w14:paraId="07811232" w14:textId="3A052A38" w:rsidR="00BB76C2" w:rsidRDefault="00BB76C2" w:rsidP="001C5031">
      <w:pPr>
        <w:spacing w:after="160" w:line="259" w:lineRule="auto"/>
        <w:jc w:val="left"/>
      </w:pPr>
    </w:p>
    <w:p w14:paraId="0FE63749" w14:textId="0DE39C4D" w:rsidR="00BB76C2" w:rsidRDefault="00BB76C2" w:rsidP="001C5031">
      <w:pPr>
        <w:spacing w:after="160" w:line="259" w:lineRule="auto"/>
        <w:jc w:val="left"/>
      </w:pPr>
    </w:p>
    <w:p w14:paraId="22475C0D" w14:textId="132CF651" w:rsidR="00BB76C2" w:rsidRPr="00FE7254" w:rsidRDefault="00BB76C2" w:rsidP="001C5031">
      <w:pPr>
        <w:spacing w:after="160" w:line="259" w:lineRule="auto"/>
        <w:jc w:val="left"/>
        <w:sectPr w:rsidR="00BB76C2" w:rsidRPr="00FE7254"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26A312A6" w14:textId="5CEA6307" w:rsidR="002E69B6" w:rsidRPr="00887D7E" w:rsidRDefault="00771A3F" w:rsidP="00C26C8D">
      <w:pPr>
        <w:tabs>
          <w:tab w:val="left" w:pos="580"/>
        </w:tabs>
      </w:pPr>
      <w:bookmarkStart w:id="0" w:name="_GoBack"/>
      <w:r w:rsidRPr="00771A3F">
        <w:rPr>
          <w:noProof/>
        </w:rPr>
        <w:lastRenderedPageBreak/>
        <w:drawing>
          <wp:inline distT="0" distB="0" distL="0" distR="0" wp14:anchorId="52248D68" wp14:editId="776A5415">
            <wp:extent cx="6313844" cy="8150087"/>
            <wp:effectExtent l="0" t="0" r="0" b="3810"/>
            <wp:docPr id="19219620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8634" cy="8156270"/>
                    </a:xfrm>
                    <a:prstGeom prst="rect">
                      <a:avLst/>
                    </a:prstGeom>
                    <a:noFill/>
                    <a:ln>
                      <a:noFill/>
                    </a:ln>
                  </pic:spPr>
                </pic:pic>
              </a:graphicData>
            </a:graphic>
          </wp:inline>
        </w:drawing>
      </w:r>
      <w:bookmarkEnd w:id="0"/>
    </w:p>
    <w:sectPr w:rsidR="002E69B6" w:rsidRPr="00887D7E"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7188" w14:textId="77777777" w:rsidR="00DF155A" w:rsidRDefault="00DF155A" w:rsidP="0063497B">
      <w:pPr>
        <w:spacing w:line="240" w:lineRule="auto"/>
      </w:pPr>
      <w:r>
        <w:separator/>
      </w:r>
    </w:p>
  </w:endnote>
  <w:endnote w:type="continuationSeparator" w:id="0">
    <w:p w14:paraId="151F2733" w14:textId="77777777" w:rsidR="00DF155A" w:rsidRDefault="00DF155A" w:rsidP="0063497B">
      <w:pPr>
        <w:spacing w:line="240" w:lineRule="auto"/>
      </w:pPr>
      <w:r>
        <w:continuationSeparator/>
      </w:r>
    </w:p>
  </w:endnote>
  <w:endnote w:type="continuationNotice" w:id="1">
    <w:p w14:paraId="25E1021B" w14:textId="77777777" w:rsidR="00DF155A" w:rsidRDefault="00DF15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2686DA9B" w:rsidR="00A94FD6" w:rsidRPr="00363E63" w:rsidRDefault="00A94FD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8</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ECE719B" w:rsidR="00A94FD6" w:rsidRPr="00363E63" w:rsidRDefault="00A94FD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A94FD6" w:rsidRPr="00C26C8D" w:rsidRDefault="00A94FD6"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67C0D3BB" w14:textId="77777777" w:rsidR="00A94FD6" w:rsidRPr="00C26C8D" w:rsidRDefault="00A94FD6" w:rsidP="00C26C8D">
    <w:pPr>
      <w:pStyle w:val="Naslov31"/>
      <w:tabs>
        <w:tab w:val="right" w:pos="9638"/>
      </w:tabs>
      <w:jc w:val="left"/>
      <w:rPr>
        <w:b w:val="0"/>
        <w:sz w:val="18"/>
        <w:szCs w:val="18"/>
      </w:rPr>
    </w:pPr>
  </w:p>
  <w:p w14:paraId="6B87A005" w14:textId="77777777" w:rsidR="00A94FD6" w:rsidRPr="00363E63" w:rsidRDefault="00A94FD6"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553E" w14:textId="77777777" w:rsidR="00DF155A" w:rsidRDefault="00DF155A" w:rsidP="0063497B">
      <w:pPr>
        <w:spacing w:line="240" w:lineRule="auto"/>
      </w:pPr>
      <w:r>
        <w:separator/>
      </w:r>
    </w:p>
  </w:footnote>
  <w:footnote w:type="continuationSeparator" w:id="0">
    <w:p w14:paraId="3D25EDBB" w14:textId="77777777" w:rsidR="00DF155A" w:rsidRDefault="00DF155A" w:rsidP="0063497B">
      <w:pPr>
        <w:spacing w:line="240" w:lineRule="auto"/>
      </w:pPr>
      <w:r>
        <w:continuationSeparator/>
      </w:r>
    </w:p>
  </w:footnote>
  <w:footnote w:type="continuationNotice" w:id="1">
    <w:p w14:paraId="5CE0F800" w14:textId="77777777" w:rsidR="00DF155A" w:rsidRDefault="00DF155A">
      <w:pPr>
        <w:spacing w:line="240" w:lineRule="auto"/>
      </w:pPr>
    </w:p>
  </w:footnote>
  <w:footnote w:id="2">
    <w:p w14:paraId="3B7E9F32" w14:textId="77777777" w:rsidR="008B464B" w:rsidRPr="00157A9C" w:rsidRDefault="008B464B" w:rsidP="008B464B">
      <w:pPr>
        <w:pStyle w:val="FootnoteText"/>
        <w:rPr>
          <w:rFonts w:eastAsia="Myriad Pro" w:cs="Myriad Pro"/>
          <w:color w:val="000000" w:themeColor="text1"/>
          <w:szCs w:val="16"/>
        </w:rPr>
      </w:pPr>
      <w:r>
        <w:rPr>
          <w:rStyle w:val="FootnoteReference"/>
          <w:szCs w:val="16"/>
        </w:rPr>
        <w:footnoteRef/>
      </w:r>
      <w:r>
        <w:t xml:space="preserve"> Activities R, S and T according to NACE classification</w:t>
      </w:r>
      <w:r>
        <w:rPr>
          <w:color w:val="000000" w:themeColor="text1"/>
        </w:rPr>
        <w:t xml:space="preserve">. </w:t>
      </w:r>
    </w:p>
  </w:footnote>
  <w:footnote w:id="3">
    <w:p w14:paraId="21AE1F81" w14:textId="2746AB8F" w:rsidR="00FD1EB6" w:rsidRDefault="00FD1EB6" w:rsidP="00FD1EB6">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027F9D7C" w:rsidR="00A94FD6" w:rsidRDefault="00A94FD6" w:rsidP="00652795">
    <w:pPr>
      <w:jc w:val="right"/>
    </w:pPr>
    <w:r>
      <w:rPr>
        <w:noProof/>
      </w:rPr>
      <w:drawing>
        <wp:anchor distT="0" distB="0" distL="114300" distR="114300" simplePos="0" relativeHeight="251658240" behindDoc="0" locked="0" layoutInCell="1" allowOverlap="1" wp14:anchorId="254C5F65" wp14:editId="5F2BA815">
          <wp:simplePos x="0" y="0"/>
          <wp:positionH relativeFrom="column">
            <wp:posOffset>-306705</wp:posOffset>
          </wp:positionH>
          <wp:positionV relativeFrom="paragraph">
            <wp:posOffset>64135</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20 November 2023</w:t>
    </w:r>
  </w:p>
  <w:p w14:paraId="4BCD6FCD" w14:textId="77777777" w:rsidR="00A94FD6" w:rsidRDefault="00A94FD6" w:rsidP="00FE7254">
    <w:pPr>
      <w:jc w:val="right"/>
    </w:pPr>
  </w:p>
  <w:p w14:paraId="2346E65D" w14:textId="77777777" w:rsidR="00A94FD6" w:rsidRDefault="00A94FD6" w:rsidP="00FE7254">
    <w:pPr>
      <w:jc w:val="right"/>
    </w:pPr>
  </w:p>
  <w:p w14:paraId="72003DEC" w14:textId="77777777" w:rsidR="00A94FD6" w:rsidRDefault="00A94FD6"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A94FD6" w:rsidRPr="00C26C8D" w:rsidRDefault="00A94FD6"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470D"/>
    <w:rsid w:val="00004D56"/>
    <w:rsid w:val="0000543F"/>
    <w:rsid w:val="00005E4B"/>
    <w:rsid w:val="000075AF"/>
    <w:rsid w:val="0001065F"/>
    <w:rsid w:val="00010672"/>
    <w:rsid w:val="00010C5B"/>
    <w:rsid w:val="00011C08"/>
    <w:rsid w:val="000123FA"/>
    <w:rsid w:val="00013363"/>
    <w:rsid w:val="00014A64"/>
    <w:rsid w:val="00016923"/>
    <w:rsid w:val="00016EEC"/>
    <w:rsid w:val="00017FC7"/>
    <w:rsid w:val="000238C0"/>
    <w:rsid w:val="0002391A"/>
    <w:rsid w:val="000242B6"/>
    <w:rsid w:val="00024C2B"/>
    <w:rsid w:val="00024EF0"/>
    <w:rsid w:val="000257A3"/>
    <w:rsid w:val="00026AAA"/>
    <w:rsid w:val="00026F6F"/>
    <w:rsid w:val="0002745B"/>
    <w:rsid w:val="000328C3"/>
    <w:rsid w:val="0003301E"/>
    <w:rsid w:val="00033D8C"/>
    <w:rsid w:val="000407E8"/>
    <w:rsid w:val="00041021"/>
    <w:rsid w:val="0004116E"/>
    <w:rsid w:val="00041EFE"/>
    <w:rsid w:val="00042E4A"/>
    <w:rsid w:val="00043B69"/>
    <w:rsid w:val="0004410D"/>
    <w:rsid w:val="000441E1"/>
    <w:rsid w:val="0004434E"/>
    <w:rsid w:val="0004498A"/>
    <w:rsid w:val="000453CF"/>
    <w:rsid w:val="00045D97"/>
    <w:rsid w:val="0004793E"/>
    <w:rsid w:val="00050B02"/>
    <w:rsid w:val="00050CF5"/>
    <w:rsid w:val="00052A59"/>
    <w:rsid w:val="00052B28"/>
    <w:rsid w:val="0005322C"/>
    <w:rsid w:val="00053417"/>
    <w:rsid w:val="00053703"/>
    <w:rsid w:val="00054458"/>
    <w:rsid w:val="00054E25"/>
    <w:rsid w:val="00055385"/>
    <w:rsid w:val="00055BD4"/>
    <w:rsid w:val="0005768A"/>
    <w:rsid w:val="00057BB3"/>
    <w:rsid w:val="00061F03"/>
    <w:rsid w:val="000626B8"/>
    <w:rsid w:val="00062E0D"/>
    <w:rsid w:val="00063F34"/>
    <w:rsid w:val="00064700"/>
    <w:rsid w:val="00064E87"/>
    <w:rsid w:val="0006523A"/>
    <w:rsid w:val="00065B72"/>
    <w:rsid w:val="00066060"/>
    <w:rsid w:val="00070313"/>
    <w:rsid w:val="000703C7"/>
    <w:rsid w:val="00070B6E"/>
    <w:rsid w:val="000725CF"/>
    <w:rsid w:val="00073C2B"/>
    <w:rsid w:val="000759D7"/>
    <w:rsid w:val="0007794F"/>
    <w:rsid w:val="00077F13"/>
    <w:rsid w:val="000802F5"/>
    <w:rsid w:val="00080660"/>
    <w:rsid w:val="0008300B"/>
    <w:rsid w:val="00083B7F"/>
    <w:rsid w:val="00084C14"/>
    <w:rsid w:val="00087E6A"/>
    <w:rsid w:val="00091C7D"/>
    <w:rsid w:val="00092592"/>
    <w:rsid w:val="0009312D"/>
    <w:rsid w:val="000943AF"/>
    <w:rsid w:val="00094F4D"/>
    <w:rsid w:val="00095F2A"/>
    <w:rsid w:val="00096101"/>
    <w:rsid w:val="000973AE"/>
    <w:rsid w:val="00097676"/>
    <w:rsid w:val="00097DD5"/>
    <w:rsid w:val="00097E06"/>
    <w:rsid w:val="000A015C"/>
    <w:rsid w:val="000A0243"/>
    <w:rsid w:val="000A05A6"/>
    <w:rsid w:val="000A29C5"/>
    <w:rsid w:val="000A2C79"/>
    <w:rsid w:val="000A454E"/>
    <w:rsid w:val="000A5A42"/>
    <w:rsid w:val="000A7BDC"/>
    <w:rsid w:val="000B16C0"/>
    <w:rsid w:val="000B1706"/>
    <w:rsid w:val="000B2332"/>
    <w:rsid w:val="000B2627"/>
    <w:rsid w:val="000B5B96"/>
    <w:rsid w:val="000C1B2D"/>
    <w:rsid w:val="000C23B1"/>
    <w:rsid w:val="000C2BCE"/>
    <w:rsid w:val="000C3039"/>
    <w:rsid w:val="000C450B"/>
    <w:rsid w:val="000C5468"/>
    <w:rsid w:val="000C5C5F"/>
    <w:rsid w:val="000C5C9D"/>
    <w:rsid w:val="000C5DFC"/>
    <w:rsid w:val="000C6EAA"/>
    <w:rsid w:val="000D0A5E"/>
    <w:rsid w:val="000D172A"/>
    <w:rsid w:val="000D3CA9"/>
    <w:rsid w:val="000D3CF2"/>
    <w:rsid w:val="000D3F8B"/>
    <w:rsid w:val="000D4661"/>
    <w:rsid w:val="000D4F5F"/>
    <w:rsid w:val="000D5FD3"/>
    <w:rsid w:val="000D7845"/>
    <w:rsid w:val="000E01E8"/>
    <w:rsid w:val="000E0B03"/>
    <w:rsid w:val="000E48B2"/>
    <w:rsid w:val="000E73CF"/>
    <w:rsid w:val="000F15D5"/>
    <w:rsid w:val="000F1A34"/>
    <w:rsid w:val="000F34C5"/>
    <w:rsid w:val="000F4609"/>
    <w:rsid w:val="000F5315"/>
    <w:rsid w:val="000F561E"/>
    <w:rsid w:val="000F600E"/>
    <w:rsid w:val="00100C6F"/>
    <w:rsid w:val="00101E8B"/>
    <w:rsid w:val="001043AF"/>
    <w:rsid w:val="001054AE"/>
    <w:rsid w:val="00105CC2"/>
    <w:rsid w:val="00106064"/>
    <w:rsid w:val="00106EDE"/>
    <w:rsid w:val="00107A55"/>
    <w:rsid w:val="001103EB"/>
    <w:rsid w:val="00110483"/>
    <w:rsid w:val="00110B3C"/>
    <w:rsid w:val="00111105"/>
    <w:rsid w:val="00111DFE"/>
    <w:rsid w:val="00112187"/>
    <w:rsid w:val="00112B3E"/>
    <w:rsid w:val="00112D8B"/>
    <w:rsid w:val="00115501"/>
    <w:rsid w:val="00115E8D"/>
    <w:rsid w:val="00116668"/>
    <w:rsid w:val="00117D58"/>
    <w:rsid w:val="00120162"/>
    <w:rsid w:val="00120431"/>
    <w:rsid w:val="00120BE4"/>
    <w:rsid w:val="00123A1C"/>
    <w:rsid w:val="00123A5A"/>
    <w:rsid w:val="00123D52"/>
    <w:rsid w:val="001242FF"/>
    <w:rsid w:val="00125116"/>
    <w:rsid w:val="001255CD"/>
    <w:rsid w:val="00126421"/>
    <w:rsid w:val="00126B3A"/>
    <w:rsid w:val="0012725B"/>
    <w:rsid w:val="00127822"/>
    <w:rsid w:val="00127A66"/>
    <w:rsid w:val="0013008D"/>
    <w:rsid w:val="00131764"/>
    <w:rsid w:val="00131E9C"/>
    <w:rsid w:val="00133154"/>
    <w:rsid w:val="00133E20"/>
    <w:rsid w:val="00136AF4"/>
    <w:rsid w:val="00136E24"/>
    <w:rsid w:val="00140FCA"/>
    <w:rsid w:val="001411E1"/>
    <w:rsid w:val="001411FE"/>
    <w:rsid w:val="0014161A"/>
    <w:rsid w:val="00144676"/>
    <w:rsid w:val="00150890"/>
    <w:rsid w:val="00150D0F"/>
    <w:rsid w:val="00151918"/>
    <w:rsid w:val="00154188"/>
    <w:rsid w:val="00157426"/>
    <w:rsid w:val="00157A9C"/>
    <w:rsid w:val="00160C98"/>
    <w:rsid w:val="0016111E"/>
    <w:rsid w:val="00161807"/>
    <w:rsid w:val="00161FEA"/>
    <w:rsid w:val="00162E99"/>
    <w:rsid w:val="001639D0"/>
    <w:rsid w:val="00165B9E"/>
    <w:rsid w:val="00166B89"/>
    <w:rsid w:val="00167096"/>
    <w:rsid w:val="00170366"/>
    <w:rsid w:val="00170750"/>
    <w:rsid w:val="00171691"/>
    <w:rsid w:val="001740EE"/>
    <w:rsid w:val="00175B27"/>
    <w:rsid w:val="00175D0E"/>
    <w:rsid w:val="0017633B"/>
    <w:rsid w:val="00176407"/>
    <w:rsid w:val="0017660B"/>
    <w:rsid w:val="00181CF5"/>
    <w:rsid w:val="00182319"/>
    <w:rsid w:val="00182AEA"/>
    <w:rsid w:val="001847BE"/>
    <w:rsid w:val="00184E9C"/>
    <w:rsid w:val="00187DC1"/>
    <w:rsid w:val="00190B5F"/>
    <w:rsid w:val="0019138D"/>
    <w:rsid w:val="00192B58"/>
    <w:rsid w:val="0019311A"/>
    <w:rsid w:val="00193BD2"/>
    <w:rsid w:val="00193EF7"/>
    <w:rsid w:val="001944C4"/>
    <w:rsid w:val="001968B7"/>
    <w:rsid w:val="00196BDC"/>
    <w:rsid w:val="001A0B7D"/>
    <w:rsid w:val="001A0C6A"/>
    <w:rsid w:val="001A0C98"/>
    <w:rsid w:val="001A1778"/>
    <w:rsid w:val="001A25D6"/>
    <w:rsid w:val="001A2A9B"/>
    <w:rsid w:val="001A2F21"/>
    <w:rsid w:val="001A36AF"/>
    <w:rsid w:val="001A3E47"/>
    <w:rsid w:val="001A7561"/>
    <w:rsid w:val="001A7CA0"/>
    <w:rsid w:val="001B11C8"/>
    <w:rsid w:val="001B475E"/>
    <w:rsid w:val="001B59CF"/>
    <w:rsid w:val="001B6A66"/>
    <w:rsid w:val="001B6AE7"/>
    <w:rsid w:val="001B7402"/>
    <w:rsid w:val="001C03A0"/>
    <w:rsid w:val="001C0998"/>
    <w:rsid w:val="001C2D69"/>
    <w:rsid w:val="001C3A0B"/>
    <w:rsid w:val="001C3E55"/>
    <w:rsid w:val="001C5031"/>
    <w:rsid w:val="001C526C"/>
    <w:rsid w:val="001D1DF5"/>
    <w:rsid w:val="001D20B4"/>
    <w:rsid w:val="001D2917"/>
    <w:rsid w:val="001D2E30"/>
    <w:rsid w:val="001D346B"/>
    <w:rsid w:val="001D3E77"/>
    <w:rsid w:val="001D6793"/>
    <w:rsid w:val="001D76BE"/>
    <w:rsid w:val="001D783A"/>
    <w:rsid w:val="001E0BCE"/>
    <w:rsid w:val="001E2ADE"/>
    <w:rsid w:val="001E2BB5"/>
    <w:rsid w:val="001E3287"/>
    <w:rsid w:val="001E3554"/>
    <w:rsid w:val="001E3587"/>
    <w:rsid w:val="001E3956"/>
    <w:rsid w:val="001E411B"/>
    <w:rsid w:val="001E4645"/>
    <w:rsid w:val="001E64A5"/>
    <w:rsid w:val="001E66B1"/>
    <w:rsid w:val="001E7BB4"/>
    <w:rsid w:val="001F0ED2"/>
    <w:rsid w:val="001F16D6"/>
    <w:rsid w:val="001F2B81"/>
    <w:rsid w:val="001F2BB7"/>
    <w:rsid w:val="001F3491"/>
    <w:rsid w:val="001F42BF"/>
    <w:rsid w:val="001F4E8F"/>
    <w:rsid w:val="001F51CD"/>
    <w:rsid w:val="001F5764"/>
    <w:rsid w:val="001F6317"/>
    <w:rsid w:val="001F63E1"/>
    <w:rsid w:val="001F6F70"/>
    <w:rsid w:val="001F793F"/>
    <w:rsid w:val="002040EA"/>
    <w:rsid w:val="002056AE"/>
    <w:rsid w:val="0020683D"/>
    <w:rsid w:val="002069B9"/>
    <w:rsid w:val="00207FF1"/>
    <w:rsid w:val="00210BA6"/>
    <w:rsid w:val="00213015"/>
    <w:rsid w:val="00213030"/>
    <w:rsid w:val="00213EE1"/>
    <w:rsid w:val="00214D6F"/>
    <w:rsid w:val="00214DF6"/>
    <w:rsid w:val="00215DA0"/>
    <w:rsid w:val="00216369"/>
    <w:rsid w:val="00216757"/>
    <w:rsid w:val="00220906"/>
    <w:rsid w:val="0022107C"/>
    <w:rsid w:val="002212FB"/>
    <w:rsid w:val="00221921"/>
    <w:rsid w:val="0022245A"/>
    <w:rsid w:val="002229E0"/>
    <w:rsid w:val="002229E7"/>
    <w:rsid w:val="00222F75"/>
    <w:rsid w:val="00224070"/>
    <w:rsid w:val="0022644C"/>
    <w:rsid w:val="00226C04"/>
    <w:rsid w:val="00230547"/>
    <w:rsid w:val="00230BE2"/>
    <w:rsid w:val="00230D25"/>
    <w:rsid w:val="00231A77"/>
    <w:rsid w:val="00231C68"/>
    <w:rsid w:val="00231E39"/>
    <w:rsid w:val="00232210"/>
    <w:rsid w:val="002331E3"/>
    <w:rsid w:val="002355A3"/>
    <w:rsid w:val="00236051"/>
    <w:rsid w:val="002362D3"/>
    <w:rsid w:val="00236656"/>
    <w:rsid w:val="002374F8"/>
    <w:rsid w:val="0024119A"/>
    <w:rsid w:val="002412DD"/>
    <w:rsid w:val="00242937"/>
    <w:rsid w:val="00242C71"/>
    <w:rsid w:val="0024323E"/>
    <w:rsid w:val="00243593"/>
    <w:rsid w:val="0024378B"/>
    <w:rsid w:val="00245526"/>
    <w:rsid w:val="002461D2"/>
    <w:rsid w:val="00246CF1"/>
    <w:rsid w:val="002511CF"/>
    <w:rsid w:val="002514A6"/>
    <w:rsid w:val="00251A27"/>
    <w:rsid w:val="00252E25"/>
    <w:rsid w:val="00253489"/>
    <w:rsid w:val="002536CA"/>
    <w:rsid w:val="002537EF"/>
    <w:rsid w:val="00253AF0"/>
    <w:rsid w:val="00253F47"/>
    <w:rsid w:val="002551D9"/>
    <w:rsid w:val="00255C39"/>
    <w:rsid w:val="00255F95"/>
    <w:rsid w:val="00256249"/>
    <w:rsid w:val="00261BB1"/>
    <w:rsid w:val="00261DB4"/>
    <w:rsid w:val="0026341B"/>
    <w:rsid w:val="0026509A"/>
    <w:rsid w:val="00265DE3"/>
    <w:rsid w:val="002679E5"/>
    <w:rsid w:val="00271747"/>
    <w:rsid w:val="0027260C"/>
    <w:rsid w:val="0027286B"/>
    <w:rsid w:val="002744DD"/>
    <w:rsid w:val="00274C54"/>
    <w:rsid w:val="00274D3F"/>
    <w:rsid w:val="00275472"/>
    <w:rsid w:val="00277382"/>
    <w:rsid w:val="00277BC0"/>
    <w:rsid w:val="002809C1"/>
    <w:rsid w:val="00280A6C"/>
    <w:rsid w:val="00280E80"/>
    <w:rsid w:val="00284678"/>
    <w:rsid w:val="0028665C"/>
    <w:rsid w:val="00287A37"/>
    <w:rsid w:val="00290CA7"/>
    <w:rsid w:val="00291679"/>
    <w:rsid w:val="00291B80"/>
    <w:rsid w:val="00291FCA"/>
    <w:rsid w:val="002928D3"/>
    <w:rsid w:val="0029405F"/>
    <w:rsid w:val="00295C4F"/>
    <w:rsid w:val="00296BEC"/>
    <w:rsid w:val="002A139A"/>
    <w:rsid w:val="002A4D2C"/>
    <w:rsid w:val="002A5D20"/>
    <w:rsid w:val="002A62E1"/>
    <w:rsid w:val="002A62E5"/>
    <w:rsid w:val="002A63A4"/>
    <w:rsid w:val="002A713E"/>
    <w:rsid w:val="002A77D1"/>
    <w:rsid w:val="002B025E"/>
    <w:rsid w:val="002B058F"/>
    <w:rsid w:val="002B113D"/>
    <w:rsid w:val="002B3313"/>
    <w:rsid w:val="002B4319"/>
    <w:rsid w:val="002B4C3A"/>
    <w:rsid w:val="002B5361"/>
    <w:rsid w:val="002B617D"/>
    <w:rsid w:val="002B6577"/>
    <w:rsid w:val="002B67C9"/>
    <w:rsid w:val="002B731F"/>
    <w:rsid w:val="002B7EFC"/>
    <w:rsid w:val="002C1237"/>
    <w:rsid w:val="002C5204"/>
    <w:rsid w:val="002C5AFE"/>
    <w:rsid w:val="002C75CC"/>
    <w:rsid w:val="002D0963"/>
    <w:rsid w:val="002D31CE"/>
    <w:rsid w:val="002D46EF"/>
    <w:rsid w:val="002D4B5C"/>
    <w:rsid w:val="002D504F"/>
    <w:rsid w:val="002D62C5"/>
    <w:rsid w:val="002D753B"/>
    <w:rsid w:val="002D77C5"/>
    <w:rsid w:val="002D7903"/>
    <w:rsid w:val="002E20DD"/>
    <w:rsid w:val="002E3783"/>
    <w:rsid w:val="002E64A4"/>
    <w:rsid w:val="002E69B6"/>
    <w:rsid w:val="002E6F0D"/>
    <w:rsid w:val="002E6FAD"/>
    <w:rsid w:val="002F00BB"/>
    <w:rsid w:val="002F0448"/>
    <w:rsid w:val="002F0CE8"/>
    <w:rsid w:val="002F13C8"/>
    <w:rsid w:val="002F17E3"/>
    <w:rsid w:val="002F2DAF"/>
    <w:rsid w:val="002F45CB"/>
    <w:rsid w:val="002F4B1C"/>
    <w:rsid w:val="002F5770"/>
    <w:rsid w:val="002F5FD5"/>
    <w:rsid w:val="00301B51"/>
    <w:rsid w:val="0030488A"/>
    <w:rsid w:val="0030488D"/>
    <w:rsid w:val="003057B9"/>
    <w:rsid w:val="00305883"/>
    <w:rsid w:val="003065E9"/>
    <w:rsid w:val="00306767"/>
    <w:rsid w:val="00307CB7"/>
    <w:rsid w:val="003100CF"/>
    <w:rsid w:val="003115EA"/>
    <w:rsid w:val="00312D09"/>
    <w:rsid w:val="003139A6"/>
    <w:rsid w:val="003146A1"/>
    <w:rsid w:val="00314B0A"/>
    <w:rsid w:val="003159CC"/>
    <w:rsid w:val="00321619"/>
    <w:rsid w:val="00321860"/>
    <w:rsid w:val="0032373C"/>
    <w:rsid w:val="00323A4F"/>
    <w:rsid w:val="00324670"/>
    <w:rsid w:val="00325655"/>
    <w:rsid w:val="0032707E"/>
    <w:rsid w:val="00327B09"/>
    <w:rsid w:val="0033042F"/>
    <w:rsid w:val="003305D2"/>
    <w:rsid w:val="00330DEB"/>
    <w:rsid w:val="00331DD6"/>
    <w:rsid w:val="00333B2F"/>
    <w:rsid w:val="00334C8C"/>
    <w:rsid w:val="00337AFD"/>
    <w:rsid w:val="0034156F"/>
    <w:rsid w:val="00342B3F"/>
    <w:rsid w:val="00342F7A"/>
    <w:rsid w:val="0034385F"/>
    <w:rsid w:val="00343B02"/>
    <w:rsid w:val="00343B41"/>
    <w:rsid w:val="003443B1"/>
    <w:rsid w:val="00345269"/>
    <w:rsid w:val="00345706"/>
    <w:rsid w:val="0034698E"/>
    <w:rsid w:val="00346E79"/>
    <w:rsid w:val="00347D81"/>
    <w:rsid w:val="00350A64"/>
    <w:rsid w:val="00352435"/>
    <w:rsid w:val="003524EB"/>
    <w:rsid w:val="00353C8D"/>
    <w:rsid w:val="00355A00"/>
    <w:rsid w:val="0035658B"/>
    <w:rsid w:val="00356832"/>
    <w:rsid w:val="0035737D"/>
    <w:rsid w:val="0036011B"/>
    <w:rsid w:val="0036024E"/>
    <w:rsid w:val="0036047E"/>
    <w:rsid w:val="0036113B"/>
    <w:rsid w:val="0036209D"/>
    <w:rsid w:val="00363323"/>
    <w:rsid w:val="00363E63"/>
    <w:rsid w:val="003640E5"/>
    <w:rsid w:val="0036436C"/>
    <w:rsid w:val="00364476"/>
    <w:rsid w:val="00364A8F"/>
    <w:rsid w:val="0036516C"/>
    <w:rsid w:val="0036536C"/>
    <w:rsid w:val="00365D68"/>
    <w:rsid w:val="00366045"/>
    <w:rsid w:val="00366D68"/>
    <w:rsid w:val="00366E5E"/>
    <w:rsid w:val="00367E79"/>
    <w:rsid w:val="00371828"/>
    <w:rsid w:val="00371C85"/>
    <w:rsid w:val="00372FC1"/>
    <w:rsid w:val="00373F9D"/>
    <w:rsid w:val="00374467"/>
    <w:rsid w:val="00374679"/>
    <w:rsid w:val="00374B90"/>
    <w:rsid w:val="0037511B"/>
    <w:rsid w:val="00375A11"/>
    <w:rsid w:val="00376254"/>
    <w:rsid w:val="0037709E"/>
    <w:rsid w:val="003776B8"/>
    <w:rsid w:val="00380056"/>
    <w:rsid w:val="00380721"/>
    <w:rsid w:val="00381F22"/>
    <w:rsid w:val="003831A6"/>
    <w:rsid w:val="0038500A"/>
    <w:rsid w:val="00385765"/>
    <w:rsid w:val="00386C31"/>
    <w:rsid w:val="00390947"/>
    <w:rsid w:val="00392602"/>
    <w:rsid w:val="00394109"/>
    <w:rsid w:val="00394FBC"/>
    <w:rsid w:val="00395BFD"/>
    <w:rsid w:val="003963FA"/>
    <w:rsid w:val="00396859"/>
    <w:rsid w:val="003974F8"/>
    <w:rsid w:val="003A1B12"/>
    <w:rsid w:val="003A23E4"/>
    <w:rsid w:val="003A26B5"/>
    <w:rsid w:val="003A2A54"/>
    <w:rsid w:val="003A4036"/>
    <w:rsid w:val="003A49D8"/>
    <w:rsid w:val="003A58F7"/>
    <w:rsid w:val="003B14A1"/>
    <w:rsid w:val="003B1B85"/>
    <w:rsid w:val="003B2BA9"/>
    <w:rsid w:val="003B2E1F"/>
    <w:rsid w:val="003B4537"/>
    <w:rsid w:val="003B5346"/>
    <w:rsid w:val="003B55C2"/>
    <w:rsid w:val="003B6669"/>
    <w:rsid w:val="003B692B"/>
    <w:rsid w:val="003B76CF"/>
    <w:rsid w:val="003B7B25"/>
    <w:rsid w:val="003C0556"/>
    <w:rsid w:val="003C1005"/>
    <w:rsid w:val="003C121F"/>
    <w:rsid w:val="003C1E32"/>
    <w:rsid w:val="003C2454"/>
    <w:rsid w:val="003C3C52"/>
    <w:rsid w:val="003C4422"/>
    <w:rsid w:val="003C44D9"/>
    <w:rsid w:val="003C4F40"/>
    <w:rsid w:val="003C5FE1"/>
    <w:rsid w:val="003C614E"/>
    <w:rsid w:val="003C689C"/>
    <w:rsid w:val="003C6951"/>
    <w:rsid w:val="003C7F54"/>
    <w:rsid w:val="003D0FA7"/>
    <w:rsid w:val="003D1203"/>
    <w:rsid w:val="003D2A30"/>
    <w:rsid w:val="003D58DF"/>
    <w:rsid w:val="003D6046"/>
    <w:rsid w:val="003D7034"/>
    <w:rsid w:val="003D709F"/>
    <w:rsid w:val="003E0230"/>
    <w:rsid w:val="003E2020"/>
    <w:rsid w:val="003E3D85"/>
    <w:rsid w:val="003E3E95"/>
    <w:rsid w:val="003E405E"/>
    <w:rsid w:val="003E49A6"/>
    <w:rsid w:val="003E5239"/>
    <w:rsid w:val="003E5ADA"/>
    <w:rsid w:val="003E5C15"/>
    <w:rsid w:val="003E6110"/>
    <w:rsid w:val="003E64D6"/>
    <w:rsid w:val="003E6E0C"/>
    <w:rsid w:val="003F30E4"/>
    <w:rsid w:val="003F489A"/>
    <w:rsid w:val="003F4C1B"/>
    <w:rsid w:val="003F5F51"/>
    <w:rsid w:val="003F7CC6"/>
    <w:rsid w:val="0040299F"/>
    <w:rsid w:val="004041D4"/>
    <w:rsid w:val="004043AC"/>
    <w:rsid w:val="00404E1F"/>
    <w:rsid w:val="0040719E"/>
    <w:rsid w:val="004079CD"/>
    <w:rsid w:val="00407F92"/>
    <w:rsid w:val="0041023F"/>
    <w:rsid w:val="004108D6"/>
    <w:rsid w:val="004112CD"/>
    <w:rsid w:val="004123A3"/>
    <w:rsid w:val="0041289B"/>
    <w:rsid w:val="00412D2D"/>
    <w:rsid w:val="00413087"/>
    <w:rsid w:val="00415098"/>
    <w:rsid w:val="004204B9"/>
    <w:rsid w:val="004235EE"/>
    <w:rsid w:val="0042420B"/>
    <w:rsid w:val="0042519D"/>
    <w:rsid w:val="004255B4"/>
    <w:rsid w:val="0042591F"/>
    <w:rsid w:val="00425A43"/>
    <w:rsid w:val="00426011"/>
    <w:rsid w:val="004271E0"/>
    <w:rsid w:val="00427D1A"/>
    <w:rsid w:val="00431E69"/>
    <w:rsid w:val="00431EDD"/>
    <w:rsid w:val="0043332A"/>
    <w:rsid w:val="00433A4D"/>
    <w:rsid w:val="00434A3E"/>
    <w:rsid w:val="00434C25"/>
    <w:rsid w:val="00435F5C"/>
    <w:rsid w:val="004368FB"/>
    <w:rsid w:val="00436BA4"/>
    <w:rsid w:val="00437803"/>
    <w:rsid w:val="004419D5"/>
    <w:rsid w:val="00445483"/>
    <w:rsid w:val="00445954"/>
    <w:rsid w:val="0044595C"/>
    <w:rsid w:val="00446303"/>
    <w:rsid w:val="0044650F"/>
    <w:rsid w:val="00450445"/>
    <w:rsid w:val="00451B53"/>
    <w:rsid w:val="00452589"/>
    <w:rsid w:val="00452804"/>
    <w:rsid w:val="004533D3"/>
    <w:rsid w:val="00453913"/>
    <w:rsid w:val="00454256"/>
    <w:rsid w:val="0045444B"/>
    <w:rsid w:val="00454E68"/>
    <w:rsid w:val="00455141"/>
    <w:rsid w:val="004559D1"/>
    <w:rsid w:val="0045772B"/>
    <w:rsid w:val="00461AEB"/>
    <w:rsid w:val="00461BCB"/>
    <w:rsid w:val="004629DF"/>
    <w:rsid w:val="00462BA6"/>
    <w:rsid w:val="004636A5"/>
    <w:rsid w:val="00464D01"/>
    <w:rsid w:val="00465755"/>
    <w:rsid w:val="00466410"/>
    <w:rsid w:val="00466684"/>
    <w:rsid w:val="00467144"/>
    <w:rsid w:val="0046726B"/>
    <w:rsid w:val="00467D2C"/>
    <w:rsid w:val="004712B8"/>
    <w:rsid w:val="004729A1"/>
    <w:rsid w:val="00472E83"/>
    <w:rsid w:val="00472EF9"/>
    <w:rsid w:val="0047514E"/>
    <w:rsid w:val="00475FC3"/>
    <w:rsid w:val="0047601F"/>
    <w:rsid w:val="00477274"/>
    <w:rsid w:val="0048065F"/>
    <w:rsid w:val="0048123F"/>
    <w:rsid w:val="00485BB1"/>
    <w:rsid w:val="0048612B"/>
    <w:rsid w:val="00493431"/>
    <w:rsid w:val="00494DA7"/>
    <w:rsid w:val="00496E7F"/>
    <w:rsid w:val="004970E5"/>
    <w:rsid w:val="004971B6"/>
    <w:rsid w:val="004979B8"/>
    <w:rsid w:val="00497D53"/>
    <w:rsid w:val="004A02A4"/>
    <w:rsid w:val="004A0CB3"/>
    <w:rsid w:val="004A1379"/>
    <w:rsid w:val="004A2E0B"/>
    <w:rsid w:val="004A37A6"/>
    <w:rsid w:val="004A43EC"/>
    <w:rsid w:val="004A44FE"/>
    <w:rsid w:val="004A574A"/>
    <w:rsid w:val="004A5CA8"/>
    <w:rsid w:val="004A5E7E"/>
    <w:rsid w:val="004A6A8D"/>
    <w:rsid w:val="004B0122"/>
    <w:rsid w:val="004B013F"/>
    <w:rsid w:val="004B0F49"/>
    <w:rsid w:val="004B1640"/>
    <w:rsid w:val="004B235F"/>
    <w:rsid w:val="004B2A84"/>
    <w:rsid w:val="004B415A"/>
    <w:rsid w:val="004B49B6"/>
    <w:rsid w:val="004B596F"/>
    <w:rsid w:val="004C0A16"/>
    <w:rsid w:val="004C11E0"/>
    <w:rsid w:val="004C14EB"/>
    <w:rsid w:val="004C1790"/>
    <w:rsid w:val="004C1CAE"/>
    <w:rsid w:val="004C278D"/>
    <w:rsid w:val="004C2835"/>
    <w:rsid w:val="004C30D1"/>
    <w:rsid w:val="004C35C5"/>
    <w:rsid w:val="004C5D31"/>
    <w:rsid w:val="004C6964"/>
    <w:rsid w:val="004C759B"/>
    <w:rsid w:val="004C783F"/>
    <w:rsid w:val="004D0582"/>
    <w:rsid w:val="004D0C06"/>
    <w:rsid w:val="004D1C88"/>
    <w:rsid w:val="004D1F64"/>
    <w:rsid w:val="004D2BC3"/>
    <w:rsid w:val="004D2D1C"/>
    <w:rsid w:val="004D3558"/>
    <w:rsid w:val="004D3B41"/>
    <w:rsid w:val="004D4114"/>
    <w:rsid w:val="004D4230"/>
    <w:rsid w:val="004D435B"/>
    <w:rsid w:val="004D63EF"/>
    <w:rsid w:val="004D66C9"/>
    <w:rsid w:val="004E09B3"/>
    <w:rsid w:val="004E107A"/>
    <w:rsid w:val="004E1AF2"/>
    <w:rsid w:val="004E1F41"/>
    <w:rsid w:val="004E2181"/>
    <w:rsid w:val="004E25B2"/>
    <w:rsid w:val="004E528D"/>
    <w:rsid w:val="004E5861"/>
    <w:rsid w:val="004E6CBD"/>
    <w:rsid w:val="004F2DE4"/>
    <w:rsid w:val="004F320B"/>
    <w:rsid w:val="004F3835"/>
    <w:rsid w:val="004F568A"/>
    <w:rsid w:val="004F61F1"/>
    <w:rsid w:val="004F7176"/>
    <w:rsid w:val="004F72E3"/>
    <w:rsid w:val="00500BC4"/>
    <w:rsid w:val="005056E9"/>
    <w:rsid w:val="0050596C"/>
    <w:rsid w:val="00506182"/>
    <w:rsid w:val="00506E6D"/>
    <w:rsid w:val="00507E1C"/>
    <w:rsid w:val="0051267C"/>
    <w:rsid w:val="00514F8B"/>
    <w:rsid w:val="005152BF"/>
    <w:rsid w:val="005160A5"/>
    <w:rsid w:val="00516AA6"/>
    <w:rsid w:val="00520115"/>
    <w:rsid w:val="0052117D"/>
    <w:rsid w:val="005224F3"/>
    <w:rsid w:val="005230DC"/>
    <w:rsid w:val="0052345F"/>
    <w:rsid w:val="0052505D"/>
    <w:rsid w:val="00526D99"/>
    <w:rsid w:val="0053165F"/>
    <w:rsid w:val="005321D5"/>
    <w:rsid w:val="005326CC"/>
    <w:rsid w:val="00533109"/>
    <w:rsid w:val="00533DBA"/>
    <w:rsid w:val="00534457"/>
    <w:rsid w:val="005350B7"/>
    <w:rsid w:val="005361E9"/>
    <w:rsid w:val="00537621"/>
    <w:rsid w:val="00540DDE"/>
    <w:rsid w:val="0054158F"/>
    <w:rsid w:val="00541FA3"/>
    <w:rsid w:val="00544194"/>
    <w:rsid w:val="005449BE"/>
    <w:rsid w:val="005461A5"/>
    <w:rsid w:val="005468A2"/>
    <w:rsid w:val="00546DBF"/>
    <w:rsid w:val="00547A11"/>
    <w:rsid w:val="00547F35"/>
    <w:rsid w:val="0055114B"/>
    <w:rsid w:val="00555A80"/>
    <w:rsid w:val="00556EE1"/>
    <w:rsid w:val="00561C9A"/>
    <w:rsid w:val="00562A2C"/>
    <w:rsid w:val="00563CF4"/>
    <w:rsid w:val="0056680E"/>
    <w:rsid w:val="00566D6E"/>
    <w:rsid w:val="0056759C"/>
    <w:rsid w:val="00570B57"/>
    <w:rsid w:val="00570F9D"/>
    <w:rsid w:val="005722A8"/>
    <w:rsid w:val="00573CF2"/>
    <w:rsid w:val="0058006D"/>
    <w:rsid w:val="0058052D"/>
    <w:rsid w:val="0058058A"/>
    <w:rsid w:val="005806D5"/>
    <w:rsid w:val="005820F9"/>
    <w:rsid w:val="00583EEC"/>
    <w:rsid w:val="0058526B"/>
    <w:rsid w:val="00586347"/>
    <w:rsid w:val="00594431"/>
    <w:rsid w:val="00594E6B"/>
    <w:rsid w:val="00596202"/>
    <w:rsid w:val="005965AF"/>
    <w:rsid w:val="005966CF"/>
    <w:rsid w:val="005977D2"/>
    <w:rsid w:val="005A076F"/>
    <w:rsid w:val="005A178B"/>
    <w:rsid w:val="005A1911"/>
    <w:rsid w:val="005A2EF5"/>
    <w:rsid w:val="005A3248"/>
    <w:rsid w:val="005A41D3"/>
    <w:rsid w:val="005A6A59"/>
    <w:rsid w:val="005A70C8"/>
    <w:rsid w:val="005A7DEB"/>
    <w:rsid w:val="005B060C"/>
    <w:rsid w:val="005B0A41"/>
    <w:rsid w:val="005B0C7D"/>
    <w:rsid w:val="005B36EA"/>
    <w:rsid w:val="005B377B"/>
    <w:rsid w:val="005B4B43"/>
    <w:rsid w:val="005B4C57"/>
    <w:rsid w:val="005B6FC5"/>
    <w:rsid w:val="005C1F89"/>
    <w:rsid w:val="005C2C5C"/>
    <w:rsid w:val="005C3B6F"/>
    <w:rsid w:val="005C489E"/>
    <w:rsid w:val="005C4D2E"/>
    <w:rsid w:val="005C6026"/>
    <w:rsid w:val="005C6201"/>
    <w:rsid w:val="005D0551"/>
    <w:rsid w:val="005D1DC4"/>
    <w:rsid w:val="005D285A"/>
    <w:rsid w:val="005D2FEF"/>
    <w:rsid w:val="005D3216"/>
    <w:rsid w:val="005D3726"/>
    <w:rsid w:val="005D409D"/>
    <w:rsid w:val="005D71A4"/>
    <w:rsid w:val="005E5A4D"/>
    <w:rsid w:val="005E6BE9"/>
    <w:rsid w:val="005E6F08"/>
    <w:rsid w:val="005E721A"/>
    <w:rsid w:val="005F2004"/>
    <w:rsid w:val="005F30E9"/>
    <w:rsid w:val="005F5C51"/>
    <w:rsid w:val="0060025E"/>
    <w:rsid w:val="006005D5"/>
    <w:rsid w:val="00600E28"/>
    <w:rsid w:val="0060240D"/>
    <w:rsid w:val="0060300C"/>
    <w:rsid w:val="00610502"/>
    <w:rsid w:val="00612374"/>
    <w:rsid w:val="00613457"/>
    <w:rsid w:val="00613F54"/>
    <w:rsid w:val="00613F73"/>
    <w:rsid w:val="00614A02"/>
    <w:rsid w:val="00623BBE"/>
    <w:rsid w:val="00624052"/>
    <w:rsid w:val="0062536B"/>
    <w:rsid w:val="006259AA"/>
    <w:rsid w:val="00626187"/>
    <w:rsid w:val="006269CE"/>
    <w:rsid w:val="00627500"/>
    <w:rsid w:val="006275D7"/>
    <w:rsid w:val="00632222"/>
    <w:rsid w:val="00632C8E"/>
    <w:rsid w:val="00634066"/>
    <w:rsid w:val="00634549"/>
    <w:rsid w:val="0063497B"/>
    <w:rsid w:val="00636CF3"/>
    <w:rsid w:val="00637D5B"/>
    <w:rsid w:val="00641DA3"/>
    <w:rsid w:val="006421BC"/>
    <w:rsid w:val="00642F62"/>
    <w:rsid w:val="00643ACC"/>
    <w:rsid w:val="00644FBF"/>
    <w:rsid w:val="00650921"/>
    <w:rsid w:val="00651A2E"/>
    <w:rsid w:val="00651F6F"/>
    <w:rsid w:val="0065246F"/>
    <w:rsid w:val="00652795"/>
    <w:rsid w:val="0065447B"/>
    <w:rsid w:val="00654FA7"/>
    <w:rsid w:val="006550DB"/>
    <w:rsid w:val="006571E5"/>
    <w:rsid w:val="006574F8"/>
    <w:rsid w:val="00657585"/>
    <w:rsid w:val="0066117E"/>
    <w:rsid w:val="00662622"/>
    <w:rsid w:val="00662886"/>
    <w:rsid w:val="00662E1E"/>
    <w:rsid w:val="0066322D"/>
    <w:rsid w:val="0066568A"/>
    <w:rsid w:val="00666F48"/>
    <w:rsid w:val="00671853"/>
    <w:rsid w:val="00676F8E"/>
    <w:rsid w:val="00681569"/>
    <w:rsid w:val="00681D49"/>
    <w:rsid w:val="00681FAA"/>
    <w:rsid w:val="006828F4"/>
    <w:rsid w:val="0068388C"/>
    <w:rsid w:val="00684C20"/>
    <w:rsid w:val="006851CA"/>
    <w:rsid w:val="006875F1"/>
    <w:rsid w:val="00687A6B"/>
    <w:rsid w:val="00690BB1"/>
    <w:rsid w:val="00690FA9"/>
    <w:rsid w:val="00694DFC"/>
    <w:rsid w:val="00694E61"/>
    <w:rsid w:val="00695B5D"/>
    <w:rsid w:val="006965FC"/>
    <w:rsid w:val="00696B76"/>
    <w:rsid w:val="006979EF"/>
    <w:rsid w:val="00697B6B"/>
    <w:rsid w:val="006A0703"/>
    <w:rsid w:val="006A15CC"/>
    <w:rsid w:val="006A2C98"/>
    <w:rsid w:val="006A3885"/>
    <w:rsid w:val="006A4111"/>
    <w:rsid w:val="006A595B"/>
    <w:rsid w:val="006A6820"/>
    <w:rsid w:val="006A7079"/>
    <w:rsid w:val="006A7EB4"/>
    <w:rsid w:val="006B05DA"/>
    <w:rsid w:val="006B0C1F"/>
    <w:rsid w:val="006B1F95"/>
    <w:rsid w:val="006B3D3D"/>
    <w:rsid w:val="006B60A0"/>
    <w:rsid w:val="006B67EC"/>
    <w:rsid w:val="006B73B6"/>
    <w:rsid w:val="006B7430"/>
    <w:rsid w:val="006B7DA3"/>
    <w:rsid w:val="006C1331"/>
    <w:rsid w:val="006C2117"/>
    <w:rsid w:val="006C27AE"/>
    <w:rsid w:val="006C2E31"/>
    <w:rsid w:val="006C3418"/>
    <w:rsid w:val="006C3472"/>
    <w:rsid w:val="006C6657"/>
    <w:rsid w:val="006C66CB"/>
    <w:rsid w:val="006C6FC9"/>
    <w:rsid w:val="006C7DB4"/>
    <w:rsid w:val="006D1A02"/>
    <w:rsid w:val="006D205D"/>
    <w:rsid w:val="006D35BD"/>
    <w:rsid w:val="006D3EED"/>
    <w:rsid w:val="006D5A88"/>
    <w:rsid w:val="006D6C5B"/>
    <w:rsid w:val="006D6E78"/>
    <w:rsid w:val="006D7746"/>
    <w:rsid w:val="006E1C81"/>
    <w:rsid w:val="006E4A20"/>
    <w:rsid w:val="006E4E20"/>
    <w:rsid w:val="006E5852"/>
    <w:rsid w:val="006E5C33"/>
    <w:rsid w:val="006E6B3C"/>
    <w:rsid w:val="006F02A9"/>
    <w:rsid w:val="006F03C5"/>
    <w:rsid w:val="006F3B53"/>
    <w:rsid w:val="006F4C3B"/>
    <w:rsid w:val="006F51A4"/>
    <w:rsid w:val="006F5CD3"/>
    <w:rsid w:val="006F66C0"/>
    <w:rsid w:val="006F7634"/>
    <w:rsid w:val="00700624"/>
    <w:rsid w:val="0070153C"/>
    <w:rsid w:val="007016EF"/>
    <w:rsid w:val="00704450"/>
    <w:rsid w:val="00705125"/>
    <w:rsid w:val="007121F2"/>
    <w:rsid w:val="00714319"/>
    <w:rsid w:val="00714CE7"/>
    <w:rsid w:val="00715648"/>
    <w:rsid w:val="00715D17"/>
    <w:rsid w:val="0072084E"/>
    <w:rsid w:val="00723863"/>
    <w:rsid w:val="00723D16"/>
    <w:rsid w:val="00724003"/>
    <w:rsid w:val="00725CF3"/>
    <w:rsid w:val="00726253"/>
    <w:rsid w:val="0073092F"/>
    <w:rsid w:val="00731125"/>
    <w:rsid w:val="00731B6F"/>
    <w:rsid w:val="00732DCF"/>
    <w:rsid w:val="00732F43"/>
    <w:rsid w:val="007332C7"/>
    <w:rsid w:val="0073359E"/>
    <w:rsid w:val="00736AAC"/>
    <w:rsid w:val="00737361"/>
    <w:rsid w:val="0074452D"/>
    <w:rsid w:val="0074466E"/>
    <w:rsid w:val="00744E82"/>
    <w:rsid w:val="00744F8D"/>
    <w:rsid w:val="0074504D"/>
    <w:rsid w:val="00746421"/>
    <w:rsid w:val="00750B0D"/>
    <w:rsid w:val="007511AD"/>
    <w:rsid w:val="00751346"/>
    <w:rsid w:val="007534AD"/>
    <w:rsid w:val="00757042"/>
    <w:rsid w:val="00761663"/>
    <w:rsid w:val="00762194"/>
    <w:rsid w:val="00763A41"/>
    <w:rsid w:val="00764451"/>
    <w:rsid w:val="00766241"/>
    <w:rsid w:val="00767FD3"/>
    <w:rsid w:val="00770568"/>
    <w:rsid w:val="00771468"/>
    <w:rsid w:val="00771A3F"/>
    <w:rsid w:val="00771D42"/>
    <w:rsid w:val="00772972"/>
    <w:rsid w:val="007732FF"/>
    <w:rsid w:val="007759BB"/>
    <w:rsid w:val="00776B2B"/>
    <w:rsid w:val="00777337"/>
    <w:rsid w:val="0077790E"/>
    <w:rsid w:val="0078321F"/>
    <w:rsid w:val="00783749"/>
    <w:rsid w:val="0078580A"/>
    <w:rsid w:val="00785F1B"/>
    <w:rsid w:val="00786303"/>
    <w:rsid w:val="00787A2D"/>
    <w:rsid w:val="00792840"/>
    <w:rsid w:val="0079410F"/>
    <w:rsid w:val="00795200"/>
    <w:rsid w:val="0079570E"/>
    <w:rsid w:val="007971E2"/>
    <w:rsid w:val="00797A4C"/>
    <w:rsid w:val="00797EEE"/>
    <w:rsid w:val="007A0845"/>
    <w:rsid w:val="007A0B59"/>
    <w:rsid w:val="007A1195"/>
    <w:rsid w:val="007A1CD0"/>
    <w:rsid w:val="007A2B91"/>
    <w:rsid w:val="007A3A82"/>
    <w:rsid w:val="007A3BE9"/>
    <w:rsid w:val="007A414F"/>
    <w:rsid w:val="007A4A97"/>
    <w:rsid w:val="007A64FE"/>
    <w:rsid w:val="007A79D4"/>
    <w:rsid w:val="007A7F07"/>
    <w:rsid w:val="007B189A"/>
    <w:rsid w:val="007B3A24"/>
    <w:rsid w:val="007B6C89"/>
    <w:rsid w:val="007B7110"/>
    <w:rsid w:val="007B7DD5"/>
    <w:rsid w:val="007C053B"/>
    <w:rsid w:val="007C250D"/>
    <w:rsid w:val="007C26AA"/>
    <w:rsid w:val="007C3D38"/>
    <w:rsid w:val="007C48CF"/>
    <w:rsid w:val="007C4FF4"/>
    <w:rsid w:val="007C5680"/>
    <w:rsid w:val="007C5AA5"/>
    <w:rsid w:val="007D04E4"/>
    <w:rsid w:val="007D0666"/>
    <w:rsid w:val="007D0791"/>
    <w:rsid w:val="007D164F"/>
    <w:rsid w:val="007D1929"/>
    <w:rsid w:val="007D3276"/>
    <w:rsid w:val="007D3896"/>
    <w:rsid w:val="007D4A37"/>
    <w:rsid w:val="007D6643"/>
    <w:rsid w:val="007D7337"/>
    <w:rsid w:val="007E0E38"/>
    <w:rsid w:val="007E1F88"/>
    <w:rsid w:val="007E33D8"/>
    <w:rsid w:val="007E659C"/>
    <w:rsid w:val="007F1307"/>
    <w:rsid w:val="007F23CF"/>
    <w:rsid w:val="007F4A95"/>
    <w:rsid w:val="007F6069"/>
    <w:rsid w:val="007F6635"/>
    <w:rsid w:val="007F6B23"/>
    <w:rsid w:val="00800BCD"/>
    <w:rsid w:val="00801BB8"/>
    <w:rsid w:val="00801D7A"/>
    <w:rsid w:val="00804294"/>
    <w:rsid w:val="00804AA4"/>
    <w:rsid w:val="0080541B"/>
    <w:rsid w:val="00805D7C"/>
    <w:rsid w:val="00806AAF"/>
    <w:rsid w:val="00810887"/>
    <w:rsid w:val="00811223"/>
    <w:rsid w:val="00812D81"/>
    <w:rsid w:val="00820AB1"/>
    <w:rsid w:val="00821DA4"/>
    <w:rsid w:val="00822CF5"/>
    <w:rsid w:val="00823764"/>
    <w:rsid w:val="00825605"/>
    <w:rsid w:val="00825E0B"/>
    <w:rsid w:val="0083025B"/>
    <w:rsid w:val="0083059C"/>
    <w:rsid w:val="0083153C"/>
    <w:rsid w:val="0083204F"/>
    <w:rsid w:val="00832953"/>
    <w:rsid w:val="008329EF"/>
    <w:rsid w:val="00832B61"/>
    <w:rsid w:val="00835A2A"/>
    <w:rsid w:val="00835C00"/>
    <w:rsid w:val="00835F14"/>
    <w:rsid w:val="008368E5"/>
    <w:rsid w:val="00840074"/>
    <w:rsid w:val="0084137E"/>
    <w:rsid w:val="0084348E"/>
    <w:rsid w:val="008442F2"/>
    <w:rsid w:val="00844F64"/>
    <w:rsid w:val="00845242"/>
    <w:rsid w:val="00845370"/>
    <w:rsid w:val="00845DC7"/>
    <w:rsid w:val="008463FB"/>
    <w:rsid w:val="00846728"/>
    <w:rsid w:val="00850E8B"/>
    <w:rsid w:val="0085122F"/>
    <w:rsid w:val="00851EE2"/>
    <w:rsid w:val="00852E3D"/>
    <w:rsid w:val="0085329C"/>
    <w:rsid w:val="008547C6"/>
    <w:rsid w:val="008555F3"/>
    <w:rsid w:val="00855A4A"/>
    <w:rsid w:val="00860582"/>
    <w:rsid w:val="00861B70"/>
    <w:rsid w:val="00862241"/>
    <w:rsid w:val="008628EC"/>
    <w:rsid w:val="00862CCA"/>
    <w:rsid w:val="008649A7"/>
    <w:rsid w:val="00865F08"/>
    <w:rsid w:val="008666BF"/>
    <w:rsid w:val="00870583"/>
    <w:rsid w:val="00871C03"/>
    <w:rsid w:val="00872F5B"/>
    <w:rsid w:val="00873251"/>
    <w:rsid w:val="00873C52"/>
    <w:rsid w:val="00874615"/>
    <w:rsid w:val="008752A0"/>
    <w:rsid w:val="0087735C"/>
    <w:rsid w:val="00877AB3"/>
    <w:rsid w:val="00880A84"/>
    <w:rsid w:val="00882728"/>
    <w:rsid w:val="00882BE5"/>
    <w:rsid w:val="00882DB5"/>
    <w:rsid w:val="008831BC"/>
    <w:rsid w:val="0088366A"/>
    <w:rsid w:val="00883786"/>
    <w:rsid w:val="00886885"/>
    <w:rsid w:val="00886AD3"/>
    <w:rsid w:val="00887D7E"/>
    <w:rsid w:val="0089014D"/>
    <w:rsid w:val="00890A09"/>
    <w:rsid w:val="00890C42"/>
    <w:rsid w:val="00891380"/>
    <w:rsid w:val="0089259B"/>
    <w:rsid w:val="00892FBF"/>
    <w:rsid w:val="008944CD"/>
    <w:rsid w:val="0089526A"/>
    <w:rsid w:val="008953B6"/>
    <w:rsid w:val="00895A6D"/>
    <w:rsid w:val="00896CDC"/>
    <w:rsid w:val="00897374"/>
    <w:rsid w:val="00897552"/>
    <w:rsid w:val="00897E6F"/>
    <w:rsid w:val="008A0844"/>
    <w:rsid w:val="008A14E9"/>
    <w:rsid w:val="008A262F"/>
    <w:rsid w:val="008A2E00"/>
    <w:rsid w:val="008A2E29"/>
    <w:rsid w:val="008A35B3"/>
    <w:rsid w:val="008A378E"/>
    <w:rsid w:val="008A3BAE"/>
    <w:rsid w:val="008A3FB4"/>
    <w:rsid w:val="008A5482"/>
    <w:rsid w:val="008A60FC"/>
    <w:rsid w:val="008A7049"/>
    <w:rsid w:val="008A7949"/>
    <w:rsid w:val="008A7B5F"/>
    <w:rsid w:val="008B0418"/>
    <w:rsid w:val="008B166E"/>
    <w:rsid w:val="008B1DC9"/>
    <w:rsid w:val="008B23C9"/>
    <w:rsid w:val="008B2869"/>
    <w:rsid w:val="008B29C1"/>
    <w:rsid w:val="008B4550"/>
    <w:rsid w:val="008B464B"/>
    <w:rsid w:val="008B7326"/>
    <w:rsid w:val="008C04C4"/>
    <w:rsid w:val="008C32FE"/>
    <w:rsid w:val="008C3D66"/>
    <w:rsid w:val="008C5025"/>
    <w:rsid w:val="008D03DA"/>
    <w:rsid w:val="008D4B80"/>
    <w:rsid w:val="008D5F9A"/>
    <w:rsid w:val="008D65E4"/>
    <w:rsid w:val="008D7B37"/>
    <w:rsid w:val="008E0B10"/>
    <w:rsid w:val="008E1C1D"/>
    <w:rsid w:val="008E245D"/>
    <w:rsid w:val="008E4669"/>
    <w:rsid w:val="008E523F"/>
    <w:rsid w:val="008E65B2"/>
    <w:rsid w:val="008E7143"/>
    <w:rsid w:val="008E7947"/>
    <w:rsid w:val="008F2C7A"/>
    <w:rsid w:val="008F428F"/>
    <w:rsid w:val="008F453E"/>
    <w:rsid w:val="008F4BDC"/>
    <w:rsid w:val="008F4CB9"/>
    <w:rsid w:val="008F66F2"/>
    <w:rsid w:val="008F686F"/>
    <w:rsid w:val="009013CC"/>
    <w:rsid w:val="00901496"/>
    <w:rsid w:val="00902732"/>
    <w:rsid w:val="00902C77"/>
    <w:rsid w:val="00904132"/>
    <w:rsid w:val="009046AC"/>
    <w:rsid w:val="00905922"/>
    <w:rsid w:val="0090688B"/>
    <w:rsid w:val="0090766F"/>
    <w:rsid w:val="00907B7D"/>
    <w:rsid w:val="00910265"/>
    <w:rsid w:val="00910792"/>
    <w:rsid w:val="00910A6B"/>
    <w:rsid w:val="00911C89"/>
    <w:rsid w:val="00912E9F"/>
    <w:rsid w:val="0091385F"/>
    <w:rsid w:val="009145DE"/>
    <w:rsid w:val="009155DB"/>
    <w:rsid w:val="0091670B"/>
    <w:rsid w:val="00916FC4"/>
    <w:rsid w:val="0091753E"/>
    <w:rsid w:val="00920B32"/>
    <w:rsid w:val="00921090"/>
    <w:rsid w:val="00922ABB"/>
    <w:rsid w:val="00923046"/>
    <w:rsid w:val="00924826"/>
    <w:rsid w:val="00926E02"/>
    <w:rsid w:val="0092788E"/>
    <w:rsid w:val="00927923"/>
    <w:rsid w:val="00930000"/>
    <w:rsid w:val="00930F9F"/>
    <w:rsid w:val="00934C66"/>
    <w:rsid w:val="0093604B"/>
    <w:rsid w:val="00936BD2"/>
    <w:rsid w:val="009409A8"/>
    <w:rsid w:val="00941284"/>
    <w:rsid w:val="00941650"/>
    <w:rsid w:val="009419F2"/>
    <w:rsid w:val="00941D69"/>
    <w:rsid w:val="00942927"/>
    <w:rsid w:val="00942D32"/>
    <w:rsid w:val="00943191"/>
    <w:rsid w:val="00943A1A"/>
    <w:rsid w:val="009446E5"/>
    <w:rsid w:val="009455E8"/>
    <w:rsid w:val="00946C4C"/>
    <w:rsid w:val="009470CD"/>
    <w:rsid w:val="00947144"/>
    <w:rsid w:val="00950F3C"/>
    <w:rsid w:val="0095229A"/>
    <w:rsid w:val="00954A71"/>
    <w:rsid w:val="0095573C"/>
    <w:rsid w:val="00957866"/>
    <w:rsid w:val="00957EAF"/>
    <w:rsid w:val="00962011"/>
    <w:rsid w:val="009640CE"/>
    <w:rsid w:val="00966B50"/>
    <w:rsid w:val="00971237"/>
    <w:rsid w:val="00971564"/>
    <w:rsid w:val="00971FEA"/>
    <w:rsid w:val="00972DAE"/>
    <w:rsid w:val="0097375C"/>
    <w:rsid w:val="009740C1"/>
    <w:rsid w:val="0097488C"/>
    <w:rsid w:val="00974CB2"/>
    <w:rsid w:val="009805EA"/>
    <w:rsid w:val="0098239E"/>
    <w:rsid w:val="00982916"/>
    <w:rsid w:val="00982A57"/>
    <w:rsid w:val="0098300A"/>
    <w:rsid w:val="009840A7"/>
    <w:rsid w:val="00985024"/>
    <w:rsid w:val="00985EE4"/>
    <w:rsid w:val="009878CC"/>
    <w:rsid w:val="00987C68"/>
    <w:rsid w:val="009908D8"/>
    <w:rsid w:val="009918B9"/>
    <w:rsid w:val="009930B0"/>
    <w:rsid w:val="009934E3"/>
    <w:rsid w:val="00993C23"/>
    <w:rsid w:val="0099530C"/>
    <w:rsid w:val="009A0978"/>
    <w:rsid w:val="009A1E12"/>
    <w:rsid w:val="009A7163"/>
    <w:rsid w:val="009B0988"/>
    <w:rsid w:val="009B1E15"/>
    <w:rsid w:val="009B2807"/>
    <w:rsid w:val="009B2AC9"/>
    <w:rsid w:val="009B402D"/>
    <w:rsid w:val="009B7DD8"/>
    <w:rsid w:val="009C03F4"/>
    <w:rsid w:val="009C1BE7"/>
    <w:rsid w:val="009C30AD"/>
    <w:rsid w:val="009C337E"/>
    <w:rsid w:val="009C349F"/>
    <w:rsid w:val="009C3BBA"/>
    <w:rsid w:val="009C4C87"/>
    <w:rsid w:val="009C50C6"/>
    <w:rsid w:val="009C6CAF"/>
    <w:rsid w:val="009D0E1C"/>
    <w:rsid w:val="009D311B"/>
    <w:rsid w:val="009D40AD"/>
    <w:rsid w:val="009D423E"/>
    <w:rsid w:val="009D4435"/>
    <w:rsid w:val="009D4D3F"/>
    <w:rsid w:val="009D7735"/>
    <w:rsid w:val="009D7F16"/>
    <w:rsid w:val="009E03EE"/>
    <w:rsid w:val="009E0CF9"/>
    <w:rsid w:val="009E0FC2"/>
    <w:rsid w:val="009E1119"/>
    <w:rsid w:val="009E1137"/>
    <w:rsid w:val="009E1A2A"/>
    <w:rsid w:val="009E3221"/>
    <w:rsid w:val="009E520E"/>
    <w:rsid w:val="009E540B"/>
    <w:rsid w:val="009E599B"/>
    <w:rsid w:val="009E5C93"/>
    <w:rsid w:val="009E630F"/>
    <w:rsid w:val="009E728A"/>
    <w:rsid w:val="009E7D32"/>
    <w:rsid w:val="009F074F"/>
    <w:rsid w:val="009F100D"/>
    <w:rsid w:val="009F1167"/>
    <w:rsid w:val="009F2107"/>
    <w:rsid w:val="009F26A9"/>
    <w:rsid w:val="009F3678"/>
    <w:rsid w:val="009F4F28"/>
    <w:rsid w:val="009F5072"/>
    <w:rsid w:val="009F55E3"/>
    <w:rsid w:val="009F6F44"/>
    <w:rsid w:val="009F75CB"/>
    <w:rsid w:val="00A004DC"/>
    <w:rsid w:val="00A02FA9"/>
    <w:rsid w:val="00A0343D"/>
    <w:rsid w:val="00A03639"/>
    <w:rsid w:val="00A05383"/>
    <w:rsid w:val="00A05AF7"/>
    <w:rsid w:val="00A05EC5"/>
    <w:rsid w:val="00A06AAA"/>
    <w:rsid w:val="00A072AA"/>
    <w:rsid w:val="00A107AD"/>
    <w:rsid w:val="00A129FF"/>
    <w:rsid w:val="00A14AF4"/>
    <w:rsid w:val="00A152C8"/>
    <w:rsid w:val="00A15C73"/>
    <w:rsid w:val="00A15DA9"/>
    <w:rsid w:val="00A1708B"/>
    <w:rsid w:val="00A17AE2"/>
    <w:rsid w:val="00A21B66"/>
    <w:rsid w:val="00A22817"/>
    <w:rsid w:val="00A236E8"/>
    <w:rsid w:val="00A240AD"/>
    <w:rsid w:val="00A242E2"/>
    <w:rsid w:val="00A267AB"/>
    <w:rsid w:val="00A26C96"/>
    <w:rsid w:val="00A2750E"/>
    <w:rsid w:val="00A30DB1"/>
    <w:rsid w:val="00A3349E"/>
    <w:rsid w:val="00A34D93"/>
    <w:rsid w:val="00A35FCE"/>
    <w:rsid w:val="00A37E11"/>
    <w:rsid w:val="00A42839"/>
    <w:rsid w:val="00A42EA6"/>
    <w:rsid w:val="00A438E1"/>
    <w:rsid w:val="00A451E3"/>
    <w:rsid w:val="00A45AD5"/>
    <w:rsid w:val="00A45D43"/>
    <w:rsid w:val="00A47428"/>
    <w:rsid w:val="00A501C9"/>
    <w:rsid w:val="00A501E1"/>
    <w:rsid w:val="00A51E8E"/>
    <w:rsid w:val="00A52D9C"/>
    <w:rsid w:val="00A549BD"/>
    <w:rsid w:val="00A5668B"/>
    <w:rsid w:val="00A575FA"/>
    <w:rsid w:val="00A57DF9"/>
    <w:rsid w:val="00A62351"/>
    <w:rsid w:val="00A63139"/>
    <w:rsid w:val="00A64509"/>
    <w:rsid w:val="00A64DA4"/>
    <w:rsid w:val="00A65956"/>
    <w:rsid w:val="00A65D2C"/>
    <w:rsid w:val="00A6690F"/>
    <w:rsid w:val="00A703DF"/>
    <w:rsid w:val="00A7050D"/>
    <w:rsid w:val="00A72977"/>
    <w:rsid w:val="00A72F92"/>
    <w:rsid w:val="00A73656"/>
    <w:rsid w:val="00A7365D"/>
    <w:rsid w:val="00A736A0"/>
    <w:rsid w:val="00A748A8"/>
    <w:rsid w:val="00A75761"/>
    <w:rsid w:val="00A76391"/>
    <w:rsid w:val="00A77A03"/>
    <w:rsid w:val="00A807D0"/>
    <w:rsid w:val="00A80C3E"/>
    <w:rsid w:val="00A81828"/>
    <w:rsid w:val="00A82D1B"/>
    <w:rsid w:val="00A82D9D"/>
    <w:rsid w:val="00A8329F"/>
    <w:rsid w:val="00A8549D"/>
    <w:rsid w:val="00A87E78"/>
    <w:rsid w:val="00A91FD7"/>
    <w:rsid w:val="00A93BFF"/>
    <w:rsid w:val="00A94FD6"/>
    <w:rsid w:val="00A96032"/>
    <w:rsid w:val="00AA0B7E"/>
    <w:rsid w:val="00AA17CC"/>
    <w:rsid w:val="00AA1F25"/>
    <w:rsid w:val="00AA271E"/>
    <w:rsid w:val="00AA3703"/>
    <w:rsid w:val="00AA5546"/>
    <w:rsid w:val="00AA6594"/>
    <w:rsid w:val="00AA6CDE"/>
    <w:rsid w:val="00AB0029"/>
    <w:rsid w:val="00AB0C65"/>
    <w:rsid w:val="00AB19C4"/>
    <w:rsid w:val="00AB259B"/>
    <w:rsid w:val="00AB2862"/>
    <w:rsid w:val="00AB6034"/>
    <w:rsid w:val="00AB78C2"/>
    <w:rsid w:val="00AC1B56"/>
    <w:rsid w:val="00AC328B"/>
    <w:rsid w:val="00AC366E"/>
    <w:rsid w:val="00AC6654"/>
    <w:rsid w:val="00AC7A8C"/>
    <w:rsid w:val="00AD03E5"/>
    <w:rsid w:val="00AD57E2"/>
    <w:rsid w:val="00AD62C9"/>
    <w:rsid w:val="00AD6638"/>
    <w:rsid w:val="00AD675D"/>
    <w:rsid w:val="00AD6EFF"/>
    <w:rsid w:val="00AD70AE"/>
    <w:rsid w:val="00AD7DD7"/>
    <w:rsid w:val="00AE2753"/>
    <w:rsid w:val="00AE3184"/>
    <w:rsid w:val="00AE3298"/>
    <w:rsid w:val="00AE3796"/>
    <w:rsid w:val="00AE3A0D"/>
    <w:rsid w:val="00AE5CA1"/>
    <w:rsid w:val="00AE6F57"/>
    <w:rsid w:val="00AE74D8"/>
    <w:rsid w:val="00AF0FC3"/>
    <w:rsid w:val="00AF17FE"/>
    <w:rsid w:val="00AF1FB6"/>
    <w:rsid w:val="00AF25CC"/>
    <w:rsid w:val="00AF3058"/>
    <w:rsid w:val="00AF351B"/>
    <w:rsid w:val="00AF40B9"/>
    <w:rsid w:val="00AF49EC"/>
    <w:rsid w:val="00AF5265"/>
    <w:rsid w:val="00AF59A1"/>
    <w:rsid w:val="00AF5EE3"/>
    <w:rsid w:val="00AF63FF"/>
    <w:rsid w:val="00AF65E5"/>
    <w:rsid w:val="00AF6CE4"/>
    <w:rsid w:val="00AF794B"/>
    <w:rsid w:val="00AF7D8F"/>
    <w:rsid w:val="00B00E5E"/>
    <w:rsid w:val="00B0308D"/>
    <w:rsid w:val="00B03A44"/>
    <w:rsid w:val="00B041F7"/>
    <w:rsid w:val="00B056E5"/>
    <w:rsid w:val="00B057FE"/>
    <w:rsid w:val="00B07464"/>
    <w:rsid w:val="00B10FE7"/>
    <w:rsid w:val="00B119A0"/>
    <w:rsid w:val="00B11BB6"/>
    <w:rsid w:val="00B12AB7"/>
    <w:rsid w:val="00B139DB"/>
    <w:rsid w:val="00B144A1"/>
    <w:rsid w:val="00B15728"/>
    <w:rsid w:val="00B15984"/>
    <w:rsid w:val="00B159C5"/>
    <w:rsid w:val="00B165A9"/>
    <w:rsid w:val="00B1725B"/>
    <w:rsid w:val="00B17A14"/>
    <w:rsid w:val="00B17F3C"/>
    <w:rsid w:val="00B20498"/>
    <w:rsid w:val="00B21996"/>
    <w:rsid w:val="00B21C76"/>
    <w:rsid w:val="00B21D0B"/>
    <w:rsid w:val="00B220A3"/>
    <w:rsid w:val="00B226C8"/>
    <w:rsid w:val="00B26008"/>
    <w:rsid w:val="00B263E9"/>
    <w:rsid w:val="00B2692B"/>
    <w:rsid w:val="00B30231"/>
    <w:rsid w:val="00B30548"/>
    <w:rsid w:val="00B32724"/>
    <w:rsid w:val="00B32FB7"/>
    <w:rsid w:val="00B33D70"/>
    <w:rsid w:val="00B34717"/>
    <w:rsid w:val="00B356B6"/>
    <w:rsid w:val="00B35F30"/>
    <w:rsid w:val="00B36453"/>
    <w:rsid w:val="00B3704F"/>
    <w:rsid w:val="00B37413"/>
    <w:rsid w:val="00B40FC8"/>
    <w:rsid w:val="00B41FFD"/>
    <w:rsid w:val="00B42B9C"/>
    <w:rsid w:val="00B431CE"/>
    <w:rsid w:val="00B439BC"/>
    <w:rsid w:val="00B43A20"/>
    <w:rsid w:val="00B451B6"/>
    <w:rsid w:val="00B460FC"/>
    <w:rsid w:val="00B479C3"/>
    <w:rsid w:val="00B5050F"/>
    <w:rsid w:val="00B511B5"/>
    <w:rsid w:val="00B52F7E"/>
    <w:rsid w:val="00B545B7"/>
    <w:rsid w:val="00B56388"/>
    <w:rsid w:val="00B5687F"/>
    <w:rsid w:val="00B57625"/>
    <w:rsid w:val="00B614F9"/>
    <w:rsid w:val="00B615A1"/>
    <w:rsid w:val="00B61616"/>
    <w:rsid w:val="00B63B74"/>
    <w:rsid w:val="00B64DC4"/>
    <w:rsid w:val="00B64DDC"/>
    <w:rsid w:val="00B67766"/>
    <w:rsid w:val="00B701D9"/>
    <w:rsid w:val="00B72251"/>
    <w:rsid w:val="00B73325"/>
    <w:rsid w:val="00B738F6"/>
    <w:rsid w:val="00B73ED9"/>
    <w:rsid w:val="00B7450D"/>
    <w:rsid w:val="00B75B8C"/>
    <w:rsid w:val="00B76526"/>
    <w:rsid w:val="00B811AD"/>
    <w:rsid w:val="00B8264C"/>
    <w:rsid w:val="00B82B15"/>
    <w:rsid w:val="00B8300F"/>
    <w:rsid w:val="00B837FE"/>
    <w:rsid w:val="00B83908"/>
    <w:rsid w:val="00B86CDC"/>
    <w:rsid w:val="00B92DA1"/>
    <w:rsid w:val="00B9429F"/>
    <w:rsid w:val="00B950D4"/>
    <w:rsid w:val="00B964FC"/>
    <w:rsid w:val="00B96AAF"/>
    <w:rsid w:val="00B976DE"/>
    <w:rsid w:val="00BA06C6"/>
    <w:rsid w:val="00BA10BC"/>
    <w:rsid w:val="00BA17CB"/>
    <w:rsid w:val="00BA18D3"/>
    <w:rsid w:val="00BA1BAE"/>
    <w:rsid w:val="00BA1DBC"/>
    <w:rsid w:val="00BA206E"/>
    <w:rsid w:val="00BA2BDE"/>
    <w:rsid w:val="00BA2F5A"/>
    <w:rsid w:val="00BA34D4"/>
    <w:rsid w:val="00BA4013"/>
    <w:rsid w:val="00BA4836"/>
    <w:rsid w:val="00BA51FC"/>
    <w:rsid w:val="00BA5775"/>
    <w:rsid w:val="00BA6E36"/>
    <w:rsid w:val="00BA715B"/>
    <w:rsid w:val="00BB2464"/>
    <w:rsid w:val="00BB31C5"/>
    <w:rsid w:val="00BB31FB"/>
    <w:rsid w:val="00BB361C"/>
    <w:rsid w:val="00BB439F"/>
    <w:rsid w:val="00BB596B"/>
    <w:rsid w:val="00BB6063"/>
    <w:rsid w:val="00BB6DF6"/>
    <w:rsid w:val="00BB73B2"/>
    <w:rsid w:val="00BB76C2"/>
    <w:rsid w:val="00BC08EA"/>
    <w:rsid w:val="00BC1674"/>
    <w:rsid w:val="00BC41EA"/>
    <w:rsid w:val="00BC428C"/>
    <w:rsid w:val="00BC6771"/>
    <w:rsid w:val="00BC7B39"/>
    <w:rsid w:val="00BD11DE"/>
    <w:rsid w:val="00BD18F1"/>
    <w:rsid w:val="00BD1FEF"/>
    <w:rsid w:val="00BD270C"/>
    <w:rsid w:val="00BD29E0"/>
    <w:rsid w:val="00BD2ED0"/>
    <w:rsid w:val="00BD4171"/>
    <w:rsid w:val="00BD5895"/>
    <w:rsid w:val="00BD5920"/>
    <w:rsid w:val="00BD6B2F"/>
    <w:rsid w:val="00BE0385"/>
    <w:rsid w:val="00BE0B45"/>
    <w:rsid w:val="00BE4047"/>
    <w:rsid w:val="00BE4D0E"/>
    <w:rsid w:val="00BE692D"/>
    <w:rsid w:val="00BF2574"/>
    <w:rsid w:val="00BF25B1"/>
    <w:rsid w:val="00BF2667"/>
    <w:rsid w:val="00BF2BFC"/>
    <w:rsid w:val="00BF2F81"/>
    <w:rsid w:val="00BF39BE"/>
    <w:rsid w:val="00BF3A51"/>
    <w:rsid w:val="00BF3E39"/>
    <w:rsid w:val="00BF4615"/>
    <w:rsid w:val="00BF4998"/>
    <w:rsid w:val="00BF5655"/>
    <w:rsid w:val="00BF615A"/>
    <w:rsid w:val="00BF6382"/>
    <w:rsid w:val="00BF6401"/>
    <w:rsid w:val="00BF6452"/>
    <w:rsid w:val="00BF64FF"/>
    <w:rsid w:val="00C0394F"/>
    <w:rsid w:val="00C053D9"/>
    <w:rsid w:val="00C065C3"/>
    <w:rsid w:val="00C074CC"/>
    <w:rsid w:val="00C07AA8"/>
    <w:rsid w:val="00C101AE"/>
    <w:rsid w:val="00C11346"/>
    <w:rsid w:val="00C11F86"/>
    <w:rsid w:val="00C14001"/>
    <w:rsid w:val="00C143E2"/>
    <w:rsid w:val="00C169C0"/>
    <w:rsid w:val="00C170D6"/>
    <w:rsid w:val="00C211FC"/>
    <w:rsid w:val="00C23A4F"/>
    <w:rsid w:val="00C24176"/>
    <w:rsid w:val="00C26C8D"/>
    <w:rsid w:val="00C3081E"/>
    <w:rsid w:val="00C31DD3"/>
    <w:rsid w:val="00C3799E"/>
    <w:rsid w:val="00C452C6"/>
    <w:rsid w:val="00C46940"/>
    <w:rsid w:val="00C46E3B"/>
    <w:rsid w:val="00C46FBB"/>
    <w:rsid w:val="00C54755"/>
    <w:rsid w:val="00C55A27"/>
    <w:rsid w:val="00C569F2"/>
    <w:rsid w:val="00C57504"/>
    <w:rsid w:val="00C57605"/>
    <w:rsid w:val="00C64143"/>
    <w:rsid w:val="00C659D7"/>
    <w:rsid w:val="00C65B2C"/>
    <w:rsid w:val="00C662C8"/>
    <w:rsid w:val="00C71B71"/>
    <w:rsid w:val="00C72110"/>
    <w:rsid w:val="00C73E30"/>
    <w:rsid w:val="00C74201"/>
    <w:rsid w:val="00C75108"/>
    <w:rsid w:val="00C75FAF"/>
    <w:rsid w:val="00C765E5"/>
    <w:rsid w:val="00C80811"/>
    <w:rsid w:val="00C8205B"/>
    <w:rsid w:val="00C822C7"/>
    <w:rsid w:val="00C8316C"/>
    <w:rsid w:val="00C85783"/>
    <w:rsid w:val="00C86CC2"/>
    <w:rsid w:val="00C87BE9"/>
    <w:rsid w:val="00C901B1"/>
    <w:rsid w:val="00C91048"/>
    <w:rsid w:val="00C918E1"/>
    <w:rsid w:val="00C926E8"/>
    <w:rsid w:val="00C92B01"/>
    <w:rsid w:val="00C934C8"/>
    <w:rsid w:val="00C93D55"/>
    <w:rsid w:val="00C945B7"/>
    <w:rsid w:val="00C95212"/>
    <w:rsid w:val="00C955EC"/>
    <w:rsid w:val="00C95683"/>
    <w:rsid w:val="00C96FE7"/>
    <w:rsid w:val="00CA004B"/>
    <w:rsid w:val="00CA044B"/>
    <w:rsid w:val="00CA12C7"/>
    <w:rsid w:val="00CA1352"/>
    <w:rsid w:val="00CA2844"/>
    <w:rsid w:val="00CA3638"/>
    <w:rsid w:val="00CA6DC8"/>
    <w:rsid w:val="00CA7DDF"/>
    <w:rsid w:val="00CB0727"/>
    <w:rsid w:val="00CB17BC"/>
    <w:rsid w:val="00CB185C"/>
    <w:rsid w:val="00CB2C49"/>
    <w:rsid w:val="00CB3EA0"/>
    <w:rsid w:val="00CB54D8"/>
    <w:rsid w:val="00CB5DA5"/>
    <w:rsid w:val="00CB6B4E"/>
    <w:rsid w:val="00CC0DEF"/>
    <w:rsid w:val="00CC1B28"/>
    <w:rsid w:val="00CC4E10"/>
    <w:rsid w:val="00CC5980"/>
    <w:rsid w:val="00CC6016"/>
    <w:rsid w:val="00CC6777"/>
    <w:rsid w:val="00CC6BB6"/>
    <w:rsid w:val="00CC6BBE"/>
    <w:rsid w:val="00CC7829"/>
    <w:rsid w:val="00CD0A03"/>
    <w:rsid w:val="00CD0C9E"/>
    <w:rsid w:val="00CD0DAD"/>
    <w:rsid w:val="00CD136A"/>
    <w:rsid w:val="00CD2E0C"/>
    <w:rsid w:val="00CD726B"/>
    <w:rsid w:val="00CD798D"/>
    <w:rsid w:val="00CE00D4"/>
    <w:rsid w:val="00CE27C0"/>
    <w:rsid w:val="00CE3753"/>
    <w:rsid w:val="00CE3F41"/>
    <w:rsid w:val="00CE5C98"/>
    <w:rsid w:val="00CE64AB"/>
    <w:rsid w:val="00CF2486"/>
    <w:rsid w:val="00CF2B4D"/>
    <w:rsid w:val="00CF4288"/>
    <w:rsid w:val="00CF49B5"/>
    <w:rsid w:val="00CF6407"/>
    <w:rsid w:val="00CF6847"/>
    <w:rsid w:val="00CF6C9B"/>
    <w:rsid w:val="00D04063"/>
    <w:rsid w:val="00D04ECC"/>
    <w:rsid w:val="00D055D6"/>
    <w:rsid w:val="00D1018F"/>
    <w:rsid w:val="00D104C4"/>
    <w:rsid w:val="00D1152F"/>
    <w:rsid w:val="00D1159C"/>
    <w:rsid w:val="00D126B7"/>
    <w:rsid w:val="00D127B3"/>
    <w:rsid w:val="00D149C7"/>
    <w:rsid w:val="00D171E8"/>
    <w:rsid w:val="00D172A1"/>
    <w:rsid w:val="00D214F7"/>
    <w:rsid w:val="00D21920"/>
    <w:rsid w:val="00D219B5"/>
    <w:rsid w:val="00D26591"/>
    <w:rsid w:val="00D269D1"/>
    <w:rsid w:val="00D271D0"/>
    <w:rsid w:val="00D27353"/>
    <w:rsid w:val="00D2766A"/>
    <w:rsid w:val="00D27BDB"/>
    <w:rsid w:val="00D30592"/>
    <w:rsid w:val="00D30C55"/>
    <w:rsid w:val="00D312B6"/>
    <w:rsid w:val="00D335C3"/>
    <w:rsid w:val="00D33C9A"/>
    <w:rsid w:val="00D33D50"/>
    <w:rsid w:val="00D33D88"/>
    <w:rsid w:val="00D33D95"/>
    <w:rsid w:val="00D35253"/>
    <w:rsid w:val="00D3663C"/>
    <w:rsid w:val="00D36C18"/>
    <w:rsid w:val="00D36CDC"/>
    <w:rsid w:val="00D376FC"/>
    <w:rsid w:val="00D40845"/>
    <w:rsid w:val="00D41ECD"/>
    <w:rsid w:val="00D44A56"/>
    <w:rsid w:val="00D455E8"/>
    <w:rsid w:val="00D459DF"/>
    <w:rsid w:val="00D46AC2"/>
    <w:rsid w:val="00D475B9"/>
    <w:rsid w:val="00D47930"/>
    <w:rsid w:val="00D50AFC"/>
    <w:rsid w:val="00D5110A"/>
    <w:rsid w:val="00D569EB"/>
    <w:rsid w:val="00D57F71"/>
    <w:rsid w:val="00D603E3"/>
    <w:rsid w:val="00D629E9"/>
    <w:rsid w:val="00D63CDD"/>
    <w:rsid w:val="00D63DA5"/>
    <w:rsid w:val="00D63F14"/>
    <w:rsid w:val="00D64755"/>
    <w:rsid w:val="00D65D16"/>
    <w:rsid w:val="00D6735E"/>
    <w:rsid w:val="00D67416"/>
    <w:rsid w:val="00D67FB0"/>
    <w:rsid w:val="00D7023D"/>
    <w:rsid w:val="00D7085D"/>
    <w:rsid w:val="00D71373"/>
    <w:rsid w:val="00D7226A"/>
    <w:rsid w:val="00D7306E"/>
    <w:rsid w:val="00D7442E"/>
    <w:rsid w:val="00D75490"/>
    <w:rsid w:val="00D76360"/>
    <w:rsid w:val="00D764EB"/>
    <w:rsid w:val="00D77740"/>
    <w:rsid w:val="00D77C14"/>
    <w:rsid w:val="00D8114D"/>
    <w:rsid w:val="00D8427A"/>
    <w:rsid w:val="00D8476F"/>
    <w:rsid w:val="00D84D05"/>
    <w:rsid w:val="00D855FD"/>
    <w:rsid w:val="00D85756"/>
    <w:rsid w:val="00D8684F"/>
    <w:rsid w:val="00D86F74"/>
    <w:rsid w:val="00D87533"/>
    <w:rsid w:val="00D90505"/>
    <w:rsid w:val="00D907AC"/>
    <w:rsid w:val="00D91AE4"/>
    <w:rsid w:val="00D92CC8"/>
    <w:rsid w:val="00D92F22"/>
    <w:rsid w:val="00D946F7"/>
    <w:rsid w:val="00D947D2"/>
    <w:rsid w:val="00D95B56"/>
    <w:rsid w:val="00DA291E"/>
    <w:rsid w:val="00DA3067"/>
    <w:rsid w:val="00DA4AD5"/>
    <w:rsid w:val="00DA4B6F"/>
    <w:rsid w:val="00DA5C17"/>
    <w:rsid w:val="00DA6949"/>
    <w:rsid w:val="00DB0E64"/>
    <w:rsid w:val="00DB13A7"/>
    <w:rsid w:val="00DB1C32"/>
    <w:rsid w:val="00DB2AD6"/>
    <w:rsid w:val="00DC022D"/>
    <w:rsid w:val="00DC0DD4"/>
    <w:rsid w:val="00DC2376"/>
    <w:rsid w:val="00DC23A5"/>
    <w:rsid w:val="00DC26A3"/>
    <w:rsid w:val="00DC5019"/>
    <w:rsid w:val="00DC6493"/>
    <w:rsid w:val="00DC6AE6"/>
    <w:rsid w:val="00DC76CA"/>
    <w:rsid w:val="00DC7786"/>
    <w:rsid w:val="00DC7E53"/>
    <w:rsid w:val="00DD1910"/>
    <w:rsid w:val="00DD40EB"/>
    <w:rsid w:val="00DD4F36"/>
    <w:rsid w:val="00DD6241"/>
    <w:rsid w:val="00DD644C"/>
    <w:rsid w:val="00DD705E"/>
    <w:rsid w:val="00DD7B0D"/>
    <w:rsid w:val="00DD7D22"/>
    <w:rsid w:val="00DE2568"/>
    <w:rsid w:val="00DE2625"/>
    <w:rsid w:val="00DE2EA9"/>
    <w:rsid w:val="00DE38E2"/>
    <w:rsid w:val="00DE3CBF"/>
    <w:rsid w:val="00DE4ACB"/>
    <w:rsid w:val="00DE5157"/>
    <w:rsid w:val="00DE5B2B"/>
    <w:rsid w:val="00DE60F9"/>
    <w:rsid w:val="00DE6584"/>
    <w:rsid w:val="00DE72F6"/>
    <w:rsid w:val="00DF1286"/>
    <w:rsid w:val="00DF155A"/>
    <w:rsid w:val="00DF1DFE"/>
    <w:rsid w:val="00DF2136"/>
    <w:rsid w:val="00DF2724"/>
    <w:rsid w:val="00DF3707"/>
    <w:rsid w:val="00DF461F"/>
    <w:rsid w:val="00DF4F0B"/>
    <w:rsid w:val="00DF54E2"/>
    <w:rsid w:val="00DF67EB"/>
    <w:rsid w:val="00DF7AA6"/>
    <w:rsid w:val="00E007A6"/>
    <w:rsid w:val="00E00D93"/>
    <w:rsid w:val="00E02608"/>
    <w:rsid w:val="00E02749"/>
    <w:rsid w:val="00E04E6D"/>
    <w:rsid w:val="00E11672"/>
    <w:rsid w:val="00E1314C"/>
    <w:rsid w:val="00E1322D"/>
    <w:rsid w:val="00E1638D"/>
    <w:rsid w:val="00E1644B"/>
    <w:rsid w:val="00E16705"/>
    <w:rsid w:val="00E1694C"/>
    <w:rsid w:val="00E16FDB"/>
    <w:rsid w:val="00E20774"/>
    <w:rsid w:val="00E20E0A"/>
    <w:rsid w:val="00E22A17"/>
    <w:rsid w:val="00E240F5"/>
    <w:rsid w:val="00E30EAD"/>
    <w:rsid w:val="00E31B72"/>
    <w:rsid w:val="00E3247B"/>
    <w:rsid w:val="00E32672"/>
    <w:rsid w:val="00E33404"/>
    <w:rsid w:val="00E347C2"/>
    <w:rsid w:val="00E36576"/>
    <w:rsid w:val="00E37D62"/>
    <w:rsid w:val="00E4082A"/>
    <w:rsid w:val="00E4211E"/>
    <w:rsid w:val="00E42A69"/>
    <w:rsid w:val="00E44048"/>
    <w:rsid w:val="00E453AB"/>
    <w:rsid w:val="00E474CE"/>
    <w:rsid w:val="00E50887"/>
    <w:rsid w:val="00E515CC"/>
    <w:rsid w:val="00E518F8"/>
    <w:rsid w:val="00E5301F"/>
    <w:rsid w:val="00E56CF8"/>
    <w:rsid w:val="00E5C199"/>
    <w:rsid w:val="00E601B7"/>
    <w:rsid w:val="00E62157"/>
    <w:rsid w:val="00E63D9E"/>
    <w:rsid w:val="00E647E0"/>
    <w:rsid w:val="00E649FD"/>
    <w:rsid w:val="00E7094F"/>
    <w:rsid w:val="00E7219E"/>
    <w:rsid w:val="00E73008"/>
    <w:rsid w:val="00E7432D"/>
    <w:rsid w:val="00E75079"/>
    <w:rsid w:val="00E75E61"/>
    <w:rsid w:val="00E764BD"/>
    <w:rsid w:val="00E76BC3"/>
    <w:rsid w:val="00E76BDF"/>
    <w:rsid w:val="00E7791D"/>
    <w:rsid w:val="00E814D0"/>
    <w:rsid w:val="00E81806"/>
    <w:rsid w:val="00E81B05"/>
    <w:rsid w:val="00E822C2"/>
    <w:rsid w:val="00E83CC1"/>
    <w:rsid w:val="00E84707"/>
    <w:rsid w:val="00E861F4"/>
    <w:rsid w:val="00E86721"/>
    <w:rsid w:val="00E867B2"/>
    <w:rsid w:val="00E86F90"/>
    <w:rsid w:val="00E8794E"/>
    <w:rsid w:val="00E87AA0"/>
    <w:rsid w:val="00E915A6"/>
    <w:rsid w:val="00E919F2"/>
    <w:rsid w:val="00E92CD9"/>
    <w:rsid w:val="00E92EB8"/>
    <w:rsid w:val="00EA0317"/>
    <w:rsid w:val="00EA421C"/>
    <w:rsid w:val="00EA4574"/>
    <w:rsid w:val="00EA4A2B"/>
    <w:rsid w:val="00EA5D94"/>
    <w:rsid w:val="00EA605F"/>
    <w:rsid w:val="00EA6A7B"/>
    <w:rsid w:val="00EA7D9D"/>
    <w:rsid w:val="00EB0A89"/>
    <w:rsid w:val="00EB337C"/>
    <w:rsid w:val="00EB5F8A"/>
    <w:rsid w:val="00EB7BC3"/>
    <w:rsid w:val="00EC03BE"/>
    <w:rsid w:val="00EC0781"/>
    <w:rsid w:val="00EC10EA"/>
    <w:rsid w:val="00EC2321"/>
    <w:rsid w:val="00EC2B69"/>
    <w:rsid w:val="00EC3071"/>
    <w:rsid w:val="00EC57D6"/>
    <w:rsid w:val="00EC65F8"/>
    <w:rsid w:val="00EC7394"/>
    <w:rsid w:val="00ED0241"/>
    <w:rsid w:val="00ED0D49"/>
    <w:rsid w:val="00ED158E"/>
    <w:rsid w:val="00ED4168"/>
    <w:rsid w:val="00ED52DE"/>
    <w:rsid w:val="00ED5889"/>
    <w:rsid w:val="00ED5936"/>
    <w:rsid w:val="00EE2092"/>
    <w:rsid w:val="00EE2EA8"/>
    <w:rsid w:val="00EE4080"/>
    <w:rsid w:val="00EE4AF3"/>
    <w:rsid w:val="00EE4CF6"/>
    <w:rsid w:val="00EE601C"/>
    <w:rsid w:val="00EE6669"/>
    <w:rsid w:val="00EE6D25"/>
    <w:rsid w:val="00EE6E3E"/>
    <w:rsid w:val="00EE71B1"/>
    <w:rsid w:val="00EE743C"/>
    <w:rsid w:val="00EE7E6E"/>
    <w:rsid w:val="00EF1EC5"/>
    <w:rsid w:val="00EF299D"/>
    <w:rsid w:val="00EF3FD6"/>
    <w:rsid w:val="00EF4044"/>
    <w:rsid w:val="00EF40AD"/>
    <w:rsid w:val="00EF412A"/>
    <w:rsid w:val="00EF45C5"/>
    <w:rsid w:val="00EF507D"/>
    <w:rsid w:val="00EF548E"/>
    <w:rsid w:val="00EF5D58"/>
    <w:rsid w:val="00EF5E3D"/>
    <w:rsid w:val="00EF5FFF"/>
    <w:rsid w:val="00F015EB"/>
    <w:rsid w:val="00F022ED"/>
    <w:rsid w:val="00F02CAD"/>
    <w:rsid w:val="00F04564"/>
    <w:rsid w:val="00F049D7"/>
    <w:rsid w:val="00F04E5D"/>
    <w:rsid w:val="00F05302"/>
    <w:rsid w:val="00F06812"/>
    <w:rsid w:val="00F071DA"/>
    <w:rsid w:val="00F11469"/>
    <w:rsid w:val="00F115B9"/>
    <w:rsid w:val="00F11B23"/>
    <w:rsid w:val="00F1207F"/>
    <w:rsid w:val="00F12BD0"/>
    <w:rsid w:val="00F139DF"/>
    <w:rsid w:val="00F14520"/>
    <w:rsid w:val="00F15812"/>
    <w:rsid w:val="00F212CA"/>
    <w:rsid w:val="00F21549"/>
    <w:rsid w:val="00F24029"/>
    <w:rsid w:val="00F24273"/>
    <w:rsid w:val="00F25982"/>
    <w:rsid w:val="00F268ED"/>
    <w:rsid w:val="00F304EF"/>
    <w:rsid w:val="00F30B67"/>
    <w:rsid w:val="00F30D0D"/>
    <w:rsid w:val="00F31CA1"/>
    <w:rsid w:val="00F32C57"/>
    <w:rsid w:val="00F3463D"/>
    <w:rsid w:val="00F34B1F"/>
    <w:rsid w:val="00F35718"/>
    <w:rsid w:val="00F3686F"/>
    <w:rsid w:val="00F405FF"/>
    <w:rsid w:val="00F409C1"/>
    <w:rsid w:val="00F41187"/>
    <w:rsid w:val="00F41E1A"/>
    <w:rsid w:val="00F4227D"/>
    <w:rsid w:val="00F43D0E"/>
    <w:rsid w:val="00F43F6C"/>
    <w:rsid w:val="00F441D8"/>
    <w:rsid w:val="00F455F6"/>
    <w:rsid w:val="00F458A0"/>
    <w:rsid w:val="00F45C4B"/>
    <w:rsid w:val="00F45E68"/>
    <w:rsid w:val="00F46E91"/>
    <w:rsid w:val="00F47B15"/>
    <w:rsid w:val="00F5149B"/>
    <w:rsid w:val="00F5256D"/>
    <w:rsid w:val="00F53E56"/>
    <w:rsid w:val="00F545EF"/>
    <w:rsid w:val="00F549BE"/>
    <w:rsid w:val="00F55E33"/>
    <w:rsid w:val="00F568B5"/>
    <w:rsid w:val="00F60147"/>
    <w:rsid w:val="00F61DD6"/>
    <w:rsid w:val="00F62BE0"/>
    <w:rsid w:val="00F6429B"/>
    <w:rsid w:val="00F65156"/>
    <w:rsid w:val="00F65869"/>
    <w:rsid w:val="00F66827"/>
    <w:rsid w:val="00F66E1B"/>
    <w:rsid w:val="00F66FE5"/>
    <w:rsid w:val="00F6727B"/>
    <w:rsid w:val="00F70661"/>
    <w:rsid w:val="00F70A74"/>
    <w:rsid w:val="00F7118E"/>
    <w:rsid w:val="00F72588"/>
    <w:rsid w:val="00F7445D"/>
    <w:rsid w:val="00F74FCA"/>
    <w:rsid w:val="00F75751"/>
    <w:rsid w:val="00F759C1"/>
    <w:rsid w:val="00F8246C"/>
    <w:rsid w:val="00F8294E"/>
    <w:rsid w:val="00F8430A"/>
    <w:rsid w:val="00F843E9"/>
    <w:rsid w:val="00F8652E"/>
    <w:rsid w:val="00F91FE1"/>
    <w:rsid w:val="00F921C5"/>
    <w:rsid w:val="00F930F6"/>
    <w:rsid w:val="00F931DF"/>
    <w:rsid w:val="00F93FC7"/>
    <w:rsid w:val="00F96008"/>
    <w:rsid w:val="00FA1D5C"/>
    <w:rsid w:val="00FA2DBA"/>
    <w:rsid w:val="00FA45E3"/>
    <w:rsid w:val="00FA4C4B"/>
    <w:rsid w:val="00FA6D1C"/>
    <w:rsid w:val="00FA7397"/>
    <w:rsid w:val="00FA7CF2"/>
    <w:rsid w:val="00FA7F3D"/>
    <w:rsid w:val="00FB013D"/>
    <w:rsid w:val="00FB05D2"/>
    <w:rsid w:val="00FB0717"/>
    <w:rsid w:val="00FB0CF0"/>
    <w:rsid w:val="00FB24ED"/>
    <w:rsid w:val="00FB2DCD"/>
    <w:rsid w:val="00FB3741"/>
    <w:rsid w:val="00FB51EC"/>
    <w:rsid w:val="00FB5533"/>
    <w:rsid w:val="00FB5642"/>
    <w:rsid w:val="00FB639E"/>
    <w:rsid w:val="00FB65A0"/>
    <w:rsid w:val="00FB6F03"/>
    <w:rsid w:val="00FC12D6"/>
    <w:rsid w:val="00FC2954"/>
    <w:rsid w:val="00FC43B1"/>
    <w:rsid w:val="00FC49EE"/>
    <w:rsid w:val="00FC4CDB"/>
    <w:rsid w:val="00FC4E13"/>
    <w:rsid w:val="00FC639A"/>
    <w:rsid w:val="00FC6B5E"/>
    <w:rsid w:val="00FD01CA"/>
    <w:rsid w:val="00FD1641"/>
    <w:rsid w:val="00FD1EB6"/>
    <w:rsid w:val="00FD3751"/>
    <w:rsid w:val="00FD449C"/>
    <w:rsid w:val="00FD51D8"/>
    <w:rsid w:val="00FD54FC"/>
    <w:rsid w:val="00FD6176"/>
    <w:rsid w:val="00FD6B74"/>
    <w:rsid w:val="00FD7148"/>
    <w:rsid w:val="00FE12B1"/>
    <w:rsid w:val="00FE346B"/>
    <w:rsid w:val="00FE370F"/>
    <w:rsid w:val="00FE3DE9"/>
    <w:rsid w:val="00FE40AE"/>
    <w:rsid w:val="00FE4309"/>
    <w:rsid w:val="00FE5068"/>
    <w:rsid w:val="00FE51FB"/>
    <w:rsid w:val="00FE625D"/>
    <w:rsid w:val="00FE6EF6"/>
    <w:rsid w:val="00FE7254"/>
    <w:rsid w:val="00FF084D"/>
    <w:rsid w:val="00FF0E45"/>
    <w:rsid w:val="00FF187C"/>
    <w:rsid w:val="00FF3FB0"/>
    <w:rsid w:val="00FF4415"/>
    <w:rsid w:val="00FF4F3F"/>
    <w:rsid w:val="00FF5117"/>
    <w:rsid w:val="00FF5CF4"/>
    <w:rsid w:val="00FF7032"/>
    <w:rsid w:val="014C47DC"/>
    <w:rsid w:val="01534D3C"/>
    <w:rsid w:val="0155C0AB"/>
    <w:rsid w:val="015A4C08"/>
    <w:rsid w:val="0187B876"/>
    <w:rsid w:val="01AD4351"/>
    <w:rsid w:val="021143CB"/>
    <w:rsid w:val="0267C237"/>
    <w:rsid w:val="02D89DBB"/>
    <w:rsid w:val="03136EFE"/>
    <w:rsid w:val="034E887A"/>
    <w:rsid w:val="035D91B3"/>
    <w:rsid w:val="03839425"/>
    <w:rsid w:val="0390FEDA"/>
    <w:rsid w:val="039F1891"/>
    <w:rsid w:val="03AD76C4"/>
    <w:rsid w:val="03B2EC23"/>
    <w:rsid w:val="03E211CA"/>
    <w:rsid w:val="03E5D857"/>
    <w:rsid w:val="0412A4F0"/>
    <w:rsid w:val="0421F751"/>
    <w:rsid w:val="045E27B8"/>
    <w:rsid w:val="045F5CD5"/>
    <w:rsid w:val="048B5DC3"/>
    <w:rsid w:val="0494C3EF"/>
    <w:rsid w:val="04AF0F54"/>
    <w:rsid w:val="05175898"/>
    <w:rsid w:val="054345B7"/>
    <w:rsid w:val="05B7B659"/>
    <w:rsid w:val="05C24B53"/>
    <w:rsid w:val="06A4B099"/>
    <w:rsid w:val="06B00268"/>
    <w:rsid w:val="06E19386"/>
    <w:rsid w:val="0717B433"/>
    <w:rsid w:val="07239B3B"/>
    <w:rsid w:val="0740A663"/>
    <w:rsid w:val="07457267"/>
    <w:rsid w:val="075DBC71"/>
    <w:rsid w:val="0774E0FD"/>
    <w:rsid w:val="077FF758"/>
    <w:rsid w:val="07AF697F"/>
    <w:rsid w:val="08005E17"/>
    <w:rsid w:val="0827B02D"/>
    <w:rsid w:val="083B1613"/>
    <w:rsid w:val="087353CD"/>
    <w:rsid w:val="08E8ADF9"/>
    <w:rsid w:val="08E96C4B"/>
    <w:rsid w:val="091DB293"/>
    <w:rsid w:val="0932CDF8"/>
    <w:rsid w:val="09382ACD"/>
    <w:rsid w:val="09A99CBC"/>
    <w:rsid w:val="09D9DF07"/>
    <w:rsid w:val="09F8502C"/>
    <w:rsid w:val="09F95049"/>
    <w:rsid w:val="0A33835E"/>
    <w:rsid w:val="0A71ADFD"/>
    <w:rsid w:val="0B1C001A"/>
    <w:rsid w:val="0B23654D"/>
    <w:rsid w:val="0B247AA4"/>
    <w:rsid w:val="0B75AF68"/>
    <w:rsid w:val="0C2FAB6C"/>
    <w:rsid w:val="0C842145"/>
    <w:rsid w:val="0C85A39C"/>
    <w:rsid w:val="0C98FAAE"/>
    <w:rsid w:val="0CA537A1"/>
    <w:rsid w:val="0CCFFB6C"/>
    <w:rsid w:val="0CE56DA0"/>
    <w:rsid w:val="0CEAD43F"/>
    <w:rsid w:val="0CEECDC5"/>
    <w:rsid w:val="0D8411D6"/>
    <w:rsid w:val="0DC2FB31"/>
    <w:rsid w:val="0DC9BEC3"/>
    <w:rsid w:val="0E127BB6"/>
    <w:rsid w:val="0E4A9EFD"/>
    <w:rsid w:val="0E85F294"/>
    <w:rsid w:val="0EFA9CDA"/>
    <w:rsid w:val="0F3D6701"/>
    <w:rsid w:val="0F5CEF5D"/>
    <w:rsid w:val="0F87AC93"/>
    <w:rsid w:val="0FAE4C17"/>
    <w:rsid w:val="0FEE671F"/>
    <w:rsid w:val="1009F9BD"/>
    <w:rsid w:val="1077D634"/>
    <w:rsid w:val="10B931E7"/>
    <w:rsid w:val="11244F7D"/>
    <w:rsid w:val="1138D26F"/>
    <w:rsid w:val="114CA670"/>
    <w:rsid w:val="11C55B31"/>
    <w:rsid w:val="11DEC3D1"/>
    <w:rsid w:val="12031E4D"/>
    <w:rsid w:val="1220B5A5"/>
    <w:rsid w:val="1253CAA3"/>
    <w:rsid w:val="12922A5B"/>
    <w:rsid w:val="129C1FBB"/>
    <w:rsid w:val="12B5F108"/>
    <w:rsid w:val="133D688D"/>
    <w:rsid w:val="13562B4C"/>
    <w:rsid w:val="135D3E1F"/>
    <w:rsid w:val="13765532"/>
    <w:rsid w:val="139BD1AD"/>
    <w:rsid w:val="13EE1A59"/>
    <w:rsid w:val="1437195C"/>
    <w:rsid w:val="14A37D9B"/>
    <w:rsid w:val="14B3464E"/>
    <w:rsid w:val="14D773A8"/>
    <w:rsid w:val="1523FBDA"/>
    <w:rsid w:val="153ECE96"/>
    <w:rsid w:val="15433FAE"/>
    <w:rsid w:val="1589B4DD"/>
    <w:rsid w:val="158AEEF7"/>
    <w:rsid w:val="1594074B"/>
    <w:rsid w:val="159F9820"/>
    <w:rsid w:val="161A47A2"/>
    <w:rsid w:val="163C67F7"/>
    <w:rsid w:val="164DA4FC"/>
    <w:rsid w:val="16532F80"/>
    <w:rsid w:val="16A98152"/>
    <w:rsid w:val="16AA3B27"/>
    <w:rsid w:val="16D7EF1A"/>
    <w:rsid w:val="17654B23"/>
    <w:rsid w:val="17F1868E"/>
    <w:rsid w:val="1812573C"/>
    <w:rsid w:val="181B44E9"/>
    <w:rsid w:val="182DE195"/>
    <w:rsid w:val="183F52CD"/>
    <w:rsid w:val="1840577D"/>
    <w:rsid w:val="18587429"/>
    <w:rsid w:val="186FEBB1"/>
    <w:rsid w:val="1874C171"/>
    <w:rsid w:val="187B35D7"/>
    <w:rsid w:val="18C7643C"/>
    <w:rsid w:val="18C88C1E"/>
    <w:rsid w:val="194CE22C"/>
    <w:rsid w:val="19726BC7"/>
    <w:rsid w:val="1990502E"/>
    <w:rsid w:val="19EB3A55"/>
    <w:rsid w:val="1A0FFE53"/>
    <w:rsid w:val="1A3719C3"/>
    <w:rsid w:val="1A53A3C9"/>
    <w:rsid w:val="1A6010B3"/>
    <w:rsid w:val="1B0B09DF"/>
    <w:rsid w:val="1B3BCBF9"/>
    <w:rsid w:val="1B3D1393"/>
    <w:rsid w:val="1B95EB0C"/>
    <w:rsid w:val="1BECC922"/>
    <w:rsid w:val="1C56938A"/>
    <w:rsid w:val="1C5F85C8"/>
    <w:rsid w:val="1CE4031C"/>
    <w:rsid w:val="1CECA2FD"/>
    <w:rsid w:val="1D25AB95"/>
    <w:rsid w:val="1D5EE967"/>
    <w:rsid w:val="1D7ED551"/>
    <w:rsid w:val="1D97076E"/>
    <w:rsid w:val="1DB92F5A"/>
    <w:rsid w:val="1DC88E04"/>
    <w:rsid w:val="1DDC9E2C"/>
    <w:rsid w:val="1E0507E8"/>
    <w:rsid w:val="1E2F8922"/>
    <w:rsid w:val="1E3FCD87"/>
    <w:rsid w:val="1E667940"/>
    <w:rsid w:val="1E66EB87"/>
    <w:rsid w:val="1E6F3664"/>
    <w:rsid w:val="1E8B1377"/>
    <w:rsid w:val="1E956574"/>
    <w:rsid w:val="1EC25152"/>
    <w:rsid w:val="1F7749D5"/>
    <w:rsid w:val="1F7D86C2"/>
    <w:rsid w:val="1F8EE846"/>
    <w:rsid w:val="1FA238B2"/>
    <w:rsid w:val="1FA42420"/>
    <w:rsid w:val="1FB370FD"/>
    <w:rsid w:val="1FE35C39"/>
    <w:rsid w:val="1FE46053"/>
    <w:rsid w:val="1FE7ED41"/>
    <w:rsid w:val="2006E5EA"/>
    <w:rsid w:val="2007DF95"/>
    <w:rsid w:val="203BF263"/>
    <w:rsid w:val="203F3C03"/>
    <w:rsid w:val="20A431A1"/>
    <w:rsid w:val="20AF9AE2"/>
    <w:rsid w:val="20B47C81"/>
    <w:rsid w:val="21CD518E"/>
    <w:rsid w:val="21D8B721"/>
    <w:rsid w:val="21DBAED2"/>
    <w:rsid w:val="21E98C6C"/>
    <w:rsid w:val="21F19F53"/>
    <w:rsid w:val="21FB0EE8"/>
    <w:rsid w:val="22091926"/>
    <w:rsid w:val="2247227F"/>
    <w:rsid w:val="22479972"/>
    <w:rsid w:val="2262D48A"/>
    <w:rsid w:val="226B1455"/>
    <w:rsid w:val="229A7D43"/>
    <w:rsid w:val="22BB3B20"/>
    <w:rsid w:val="22BD1B87"/>
    <w:rsid w:val="2317EB02"/>
    <w:rsid w:val="235F5CDA"/>
    <w:rsid w:val="239C7DBD"/>
    <w:rsid w:val="23A8E15E"/>
    <w:rsid w:val="23E46908"/>
    <w:rsid w:val="242C2286"/>
    <w:rsid w:val="244A37A2"/>
    <w:rsid w:val="24649E72"/>
    <w:rsid w:val="246EF5F3"/>
    <w:rsid w:val="2475AC53"/>
    <w:rsid w:val="24ABDF0C"/>
    <w:rsid w:val="24B122C7"/>
    <w:rsid w:val="24B456DD"/>
    <w:rsid w:val="24B6CD00"/>
    <w:rsid w:val="24BD3272"/>
    <w:rsid w:val="25003328"/>
    <w:rsid w:val="254D069E"/>
    <w:rsid w:val="258879BE"/>
    <w:rsid w:val="259C8295"/>
    <w:rsid w:val="25A55E5E"/>
    <w:rsid w:val="25CCE6B1"/>
    <w:rsid w:val="25D7DD43"/>
    <w:rsid w:val="25DE27BD"/>
    <w:rsid w:val="25ECC846"/>
    <w:rsid w:val="26003164"/>
    <w:rsid w:val="262B6D5E"/>
    <w:rsid w:val="2632CB7A"/>
    <w:rsid w:val="2657E6C3"/>
    <w:rsid w:val="2665753F"/>
    <w:rsid w:val="266E111F"/>
    <w:rsid w:val="2674ACAC"/>
    <w:rsid w:val="26808038"/>
    <w:rsid w:val="269637BF"/>
    <w:rsid w:val="26BF19E0"/>
    <w:rsid w:val="26BFD4C3"/>
    <w:rsid w:val="26EA7E12"/>
    <w:rsid w:val="270197D7"/>
    <w:rsid w:val="2719CB47"/>
    <w:rsid w:val="276494DB"/>
    <w:rsid w:val="2772FC3F"/>
    <w:rsid w:val="27B64F1A"/>
    <w:rsid w:val="281ED650"/>
    <w:rsid w:val="28291DE8"/>
    <w:rsid w:val="282F34B9"/>
    <w:rsid w:val="288E3CDF"/>
    <w:rsid w:val="2893F7BE"/>
    <w:rsid w:val="28ED9752"/>
    <w:rsid w:val="2948201C"/>
    <w:rsid w:val="29602183"/>
    <w:rsid w:val="29B5985D"/>
    <w:rsid w:val="29C325E8"/>
    <w:rsid w:val="29F0324A"/>
    <w:rsid w:val="2A044BC4"/>
    <w:rsid w:val="2A10956F"/>
    <w:rsid w:val="2A7E6CA5"/>
    <w:rsid w:val="2ADEEA3C"/>
    <w:rsid w:val="2B1D0242"/>
    <w:rsid w:val="2B28B56E"/>
    <w:rsid w:val="2BA5760A"/>
    <w:rsid w:val="2BB6262B"/>
    <w:rsid w:val="2BD1F683"/>
    <w:rsid w:val="2BF3B001"/>
    <w:rsid w:val="2C045120"/>
    <w:rsid w:val="2C89DFB1"/>
    <w:rsid w:val="2C914A77"/>
    <w:rsid w:val="2CBA2D16"/>
    <w:rsid w:val="2CC0629E"/>
    <w:rsid w:val="2CE1AD55"/>
    <w:rsid w:val="2D02A335"/>
    <w:rsid w:val="2D04EE00"/>
    <w:rsid w:val="2D34D048"/>
    <w:rsid w:val="2D6C1016"/>
    <w:rsid w:val="2D6D5BF2"/>
    <w:rsid w:val="2E5096B0"/>
    <w:rsid w:val="2E78564B"/>
    <w:rsid w:val="2E99074E"/>
    <w:rsid w:val="2EDD5153"/>
    <w:rsid w:val="2F225237"/>
    <w:rsid w:val="2F9FB7C9"/>
    <w:rsid w:val="2FB1F4BF"/>
    <w:rsid w:val="2FC81E96"/>
    <w:rsid w:val="2FE5E7B4"/>
    <w:rsid w:val="2FFC9514"/>
    <w:rsid w:val="301C5AE7"/>
    <w:rsid w:val="302CF70A"/>
    <w:rsid w:val="306299F1"/>
    <w:rsid w:val="30633518"/>
    <w:rsid w:val="30ED7236"/>
    <w:rsid w:val="312594C6"/>
    <w:rsid w:val="31358ABB"/>
    <w:rsid w:val="314C70EB"/>
    <w:rsid w:val="316DABEB"/>
    <w:rsid w:val="323F8139"/>
    <w:rsid w:val="3250F72D"/>
    <w:rsid w:val="3268AE5D"/>
    <w:rsid w:val="3287CCEA"/>
    <w:rsid w:val="3289472D"/>
    <w:rsid w:val="32A87A56"/>
    <w:rsid w:val="32F337B8"/>
    <w:rsid w:val="32F49B7D"/>
    <w:rsid w:val="330A9419"/>
    <w:rsid w:val="3326D3B4"/>
    <w:rsid w:val="3368F07E"/>
    <w:rsid w:val="33955E06"/>
    <w:rsid w:val="33A2079A"/>
    <w:rsid w:val="33A9A8F6"/>
    <w:rsid w:val="34167D69"/>
    <w:rsid w:val="345387B1"/>
    <w:rsid w:val="34E87A6F"/>
    <w:rsid w:val="34F51034"/>
    <w:rsid w:val="35656A1D"/>
    <w:rsid w:val="356D3B37"/>
    <w:rsid w:val="357959B3"/>
    <w:rsid w:val="357D5926"/>
    <w:rsid w:val="359F15E0"/>
    <w:rsid w:val="35A44704"/>
    <w:rsid w:val="36404193"/>
    <w:rsid w:val="364E9B87"/>
    <w:rsid w:val="36AF4580"/>
    <w:rsid w:val="373BB08A"/>
    <w:rsid w:val="376D2557"/>
    <w:rsid w:val="37BF91CF"/>
    <w:rsid w:val="38142E31"/>
    <w:rsid w:val="38A78B36"/>
    <w:rsid w:val="38C4B5BB"/>
    <w:rsid w:val="390769B0"/>
    <w:rsid w:val="3922BE47"/>
    <w:rsid w:val="396D10E1"/>
    <w:rsid w:val="39B3CB7B"/>
    <w:rsid w:val="39D0784F"/>
    <w:rsid w:val="39E48952"/>
    <w:rsid w:val="39ED89EA"/>
    <w:rsid w:val="3A0636CF"/>
    <w:rsid w:val="3A1559E4"/>
    <w:rsid w:val="3A72225C"/>
    <w:rsid w:val="3A786E4A"/>
    <w:rsid w:val="3A95435E"/>
    <w:rsid w:val="3A9F5FF1"/>
    <w:rsid w:val="3ADEE515"/>
    <w:rsid w:val="3B22198F"/>
    <w:rsid w:val="3B39B66C"/>
    <w:rsid w:val="3B4DCA80"/>
    <w:rsid w:val="3B5BEC7D"/>
    <w:rsid w:val="3BB8CE85"/>
    <w:rsid w:val="3BC65A90"/>
    <w:rsid w:val="3C2FBC19"/>
    <w:rsid w:val="3C4BEF09"/>
    <w:rsid w:val="3C722D94"/>
    <w:rsid w:val="3C7C2470"/>
    <w:rsid w:val="3C8CC5B2"/>
    <w:rsid w:val="3C9C5292"/>
    <w:rsid w:val="3CA26734"/>
    <w:rsid w:val="3D64005E"/>
    <w:rsid w:val="3D6A1A40"/>
    <w:rsid w:val="3D739859"/>
    <w:rsid w:val="3DAA0230"/>
    <w:rsid w:val="3E337AB0"/>
    <w:rsid w:val="3E496B33"/>
    <w:rsid w:val="3E496EE6"/>
    <w:rsid w:val="3E75F6D3"/>
    <w:rsid w:val="3EB0FD96"/>
    <w:rsid w:val="3ED8F5AE"/>
    <w:rsid w:val="3EF8B526"/>
    <w:rsid w:val="3EFB2884"/>
    <w:rsid w:val="3F38D9A1"/>
    <w:rsid w:val="3F3D3C4F"/>
    <w:rsid w:val="3F54B0D1"/>
    <w:rsid w:val="3F70BDD9"/>
    <w:rsid w:val="3F7FB20A"/>
    <w:rsid w:val="3F9CC5C7"/>
    <w:rsid w:val="3FF3016E"/>
    <w:rsid w:val="404B445B"/>
    <w:rsid w:val="407237D2"/>
    <w:rsid w:val="411F72FE"/>
    <w:rsid w:val="411F74E2"/>
    <w:rsid w:val="41984BC5"/>
    <w:rsid w:val="41A76E1D"/>
    <w:rsid w:val="42995149"/>
    <w:rsid w:val="42B1F9E4"/>
    <w:rsid w:val="42B3A112"/>
    <w:rsid w:val="42D62C04"/>
    <w:rsid w:val="42DD12C5"/>
    <w:rsid w:val="42E6C8C6"/>
    <w:rsid w:val="42F9848C"/>
    <w:rsid w:val="42F98632"/>
    <w:rsid w:val="4306EBD3"/>
    <w:rsid w:val="43BBD1E8"/>
    <w:rsid w:val="43E7AA51"/>
    <w:rsid w:val="43F27E95"/>
    <w:rsid w:val="44068CC1"/>
    <w:rsid w:val="4419D94E"/>
    <w:rsid w:val="4477F438"/>
    <w:rsid w:val="447E24E6"/>
    <w:rsid w:val="4482A7C8"/>
    <w:rsid w:val="4498CA83"/>
    <w:rsid w:val="44E4D130"/>
    <w:rsid w:val="4592CA5B"/>
    <w:rsid w:val="45A73979"/>
    <w:rsid w:val="4602EB46"/>
    <w:rsid w:val="469FCAB4"/>
    <w:rsid w:val="46B31B37"/>
    <w:rsid w:val="46BFE1DC"/>
    <w:rsid w:val="4741D815"/>
    <w:rsid w:val="476D91B3"/>
    <w:rsid w:val="47C34632"/>
    <w:rsid w:val="4810DF10"/>
    <w:rsid w:val="481F72C6"/>
    <w:rsid w:val="48FD4927"/>
    <w:rsid w:val="48FFDBC6"/>
    <w:rsid w:val="498D6FCE"/>
    <w:rsid w:val="49B7A509"/>
    <w:rsid w:val="49D2963F"/>
    <w:rsid w:val="49D4A14C"/>
    <w:rsid w:val="49E55C87"/>
    <w:rsid w:val="49E7B724"/>
    <w:rsid w:val="49F83CA4"/>
    <w:rsid w:val="4A130F4D"/>
    <w:rsid w:val="4A1F7008"/>
    <w:rsid w:val="4A28F4A6"/>
    <w:rsid w:val="4A3F85B9"/>
    <w:rsid w:val="4A828F19"/>
    <w:rsid w:val="4A954DF1"/>
    <w:rsid w:val="4AADAF08"/>
    <w:rsid w:val="4AB4791F"/>
    <w:rsid w:val="4B132561"/>
    <w:rsid w:val="4B7CDE3D"/>
    <w:rsid w:val="4BD44F24"/>
    <w:rsid w:val="4C01D79B"/>
    <w:rsid w:val="4C1F5DF6"/>
    <w:rsid w:val="4C22DB6D"/>
    <w:rsid w:val="4C894932"/>
    <w:rsid w:val="4CACE398"/>
    <w:rsid w:val="4CCDCC5F"/>
    <w:rsid w:val="4CFCE835"/>
    <w:rsid w:val="4D07E473"/>
    <w:rsid w:val="4D51B11D"/>
    <w:rsid w:val="4DA234BF"/>
    <w:rsid w:val="4DB01F25"/>
    <w:rsid w:val="4DBFDC50"/>
    <w:rsid w:val="4DC4EAE7"/>
    <w:rsid w:val="4E0AF32D"/>
    <w:rsid w:val="4E1C3637"/>
    <w:rsid w:val="4E2FD698"/>
    <w:rsid w:val="4E65A174"/>
    <w:rsid w:val="4E759FA6"/>
    <w:rsid w:val="4EA37C92"/>
    <w:rsid w:val="4EB3336C"/>
    <w:rsid w:val="4EB6BA3F"/>
    <w:rsid w:val="4F8D95A5"/>
    <w:rsid w:val="4FFA63B5"/>
    <w:rsid w:val="50355282"/>
    <w:rsid w:val="50DA957A"/>
    <w:rsid w:val="511BAA35"/>
    <w:rsid w:val="512B9E57"/>
    <w:rsid w:val="513F19C9"/>
    <w:rsid w:val="513F3D49"/>
    <w:rsid w:val="523C45C6"/>
    <w:rsid w:val="526C0B5F"/>
    <w:rsid w:val="52829D30"/>
    <w:rsid w:val="528F8512"/>
    <w:rsid w:val="532060EE"/>
    <w:rsid w:val="53A16844"/>
    <w:rsid w:val="53CA7002"/>
    <w:rsid w:val="54085358"/>
    <w:rsid w:val="5423331D"/>
    <w:rsid w:val="542A3116"/>
    <w:rsid w:val="542D5137"/>
    <w:rsid w:val="543516AF"/>
    <w:rsid w:val="544F233D"/>
    <w:rsid w:val="545ADCEB"/>
    <w:rsid w:val="546E4940"/>
    <w:rsid w:val="547C94E4"/>
    <w:rsid w:val="54816540"/>
    <w:rsid w:val="54EB5FFB"/>
    <w:rsid w:val="555CAF3F"/>
    <w:rsid w:val="55BC90E2"/>
    <w:rsid w:val="55D651ED"/>
    <w:rsid w:val="561C26F1"/>
    <w:rsid w:val="561FF462"/>
    <w:rsid w:val="56237F24"/>
    <w:rsid w:val="56627A9D"/>
    <w:rsid w:val="566D5039"/>
    <w:rsid w:val="56892A44"/>
    <w:rsid w:val="5697635E"/>
    <w:rsid w:val="56B7C79C"/>
    <w:rsid w:val="56CC3DD7"/>
    <w:rsid w:val="56DB2402"/>
    <w:rsid w:val="571BE96C"/>
    <w:rsid w:val="5737357B"/>
    <w:rsid w:val="57D02F9E"/>
    <w:rsid w:val="57EE6AE9"/>
    <w:rsid w:val="580E11CB"/>
    <w:rsid w:val="5823843A"/>
    <w:rsid w:val="584DA038"/>
    <w:rsid w:val="5852157B"/>
    <w:rsid w:val="587C5402"/>
    <w:rsid w:val="58FA158C"/>
    <w:rsid w:val="58FFFE46"/>
    <w:rsid w:val="591CAEE0"/>
    <w:rsid w:val="5924E1CA"/>
    <w:rsid w:val="5929DE55"/>
    <w:rsid w:val="592BA133"/>
    <w:rsid w:val="597D4927"/>
    <w:rsid w:val="59807492"/>
    <w:rsid w:val="59DA5C6E"/>
    <w:rsid w:val="59F12B4E"/>
    <w:rsid w:val="59F353EC"/>
    <w:rsid w:val="5A0386DA"/>
    <w:rsid w:val="5A190794"/>
    <w:rsid w:val="5A6F1D34"/>
    <w:rsid w:val="5AC3467A"/>
    <w:rsid w:val="5AEADB04"/>
    <w:rsid w:val="5B261F00"/>
    <w:rsid w:val="5B288E07"/>
    <w:rsid w:val="5B538879"/>
    <w:rsid w:val="5BAB544A"/>
    <w:rsid w:val="5BD450A5"/>
    <w:rsid w:val="5BEE6921"/>
    <w:rsid w:val="5BF01B30"/>
    <w:rsid w:val="5C29DE5A"/>
    <w:rsid w:val="5C34BC6B"/>
    <w:rsid w:val="5C4716E7"/>
    <w:rsid w:val="5C5BB2E3"/>
    <w:rsid w:val="5C5EBC5D"/>
    <w:rsid w:val="5C65D3B5"/>
    <w:rsid w:val="5C82FCDC"/>
    <w:rsid w:val="5CA47120"/>
    <w:rsid w:val="5CC22918"/>
    <w:rsid w:val="5CCF93CC"/>
    <w:rsid w:val="5D391AB8"/>
    <w:rsid w:val="5D3DCF19"/>
    <w:rsid w:val="5D407D35"/>
    <w:rsid w:val="5D49DFF9"/>
    <w:rsid w:val="5D82AE8F"/>
    <w:rsid w:val="5DE23DCD"/>
    <w:rsid w:val="5DF531A2"/>
    <w:rsid w:val="5E21A095"/>
    <w:rsid w:val="5E9E120A"/>
    <w:rsid w:val="5F125BE8"/>
    <w:rsid w:val="5F22427A"/>
    <w:rsid w:val="5F28CCDF"/>
    <w:rsid w:val="5F82A304"/>
    <w:rsid w:val="5F854332"/>
    <w:rsid w:val="5FAAACCA"/>
    <w:rsid w:val="600C1C4A"/>
    <w:rsid w:val="60224628"/>
    <w:rsid w:val="6037DFF6"/>
    <w:rsid w:val="604A224D"/>
    <w:rsid w:val="60736C11"/>
    <w:rsid w:val="607B8D6D"/>
    <w:rsid w:val="609FE266"/>
    <w:rsid w:val="60BC6091"/>
    <w:rsid w:val="60C09C3E"/>
    <w:rsid w:val="60F16231"/>
    <w:rsid w:val="611109A1"/>
    <w:rsid w:val="6144590C"/>
    <w:rsid w:val="615FAE81"/>
    <w:rsid w:val="61D0A077"/>
    <w:rsid w:val="61F5D5BA"/>
    <w:rsid w:val="6245D0F5"/>
    <w:rsid w:val="626EC3FD"/>
    <w:rsid w:val="62910FAD"/>
    <w:rsid w:val="62A65D5B"/>
    <w:rsid w:val="62C72026"/>
    <w:rsid w:val="62D92DA6"/>
    <w:rsid w:val="631A797F"/>
    <w:rsid w:val="632D3AC1"/>
    <w:rsid w:val="6352CD14"/>
    <w:rsid w:val="636164ED"/>
    <w:rsid w:val="636E840C"/>
    <w:rsid w:val="63B26077"/>
    <w:rsid w:val="63D1D961"/>
    <w:rsid w:val="63D34C22"/>
    <w:rsid w:val="6459284E"/>
    <w:rsid w:val="64AB1877"/>
    <w:rsid w:val="64B686FD"/>
    <w:rsid w:val="64E1540F"/>
    <w:rsid w:val="64FEFC22"/>
    <w:rsid w:val="651FFC22"/>
    <w:rsid w:val="652BB24D"/>
    <w:rsid w:val="663AA5C9"/>
    <w:rsid w:val="665347F0"/>
    <w:rsid w:val="66B821BB"/>
    <w:rsid w:val="66CAB209"/>
    <w:rsid w:val="66E8CFC8"/>
    <w:rsid w:val="671D19AE"/>
    <w:rsid w:val="677BF0D9"/>
    <w:rsid w:val="67C3AEB2"/>
    <w:rsid w:val="67D3386B"/>
    <w:rsid w:val="682B84CC"/>
    <w:rsid w:val="68679EEF"/>
    <w:rsid w:val="686EA8F3"/>
    <w:rsid w:val="68915F31"/>
    <w:rsid w:val="68EE4F8D"/>
    <w:rsid w:val="68FC1CE2"/>
    <w:rsid w:val="68FDCF4F"/>
    <w:rsid w:val="68FFE8F0"/>
    <w:rsid w:val="69852224"/>
    <w:rsid w:val="6985F4BA"/>
    <w:rsid w:val="6986B294"/>
    <w:rsid w:val="698C5782"/>
    <w:rsid w:val="69C0EB16"/>
    <w:rsid w:val="69C76206"/>
    <w:rsid w:val="6A08D3B1"/>
    <w:rsid w:val="6A2A66D6"/>
    <w:rsid w:val="6A2ACB42"/>
    <w:rsid w:val="6A3A6C8D"/>
    <w:rsid w:val="6A421D52"/>
    <w:rsid w:val="6A6A88CE"/>
    <w:rsid w:val="6AB3919B"/>
    <w:rsid w:val="6B2EC127"/>
    <w:rsid w:val="6B41F19E"/>
    <w:rsid w:val="6B91F99C"/>
    <w:rsid w:val="6B9C1526"/>
    <w:rsid w:val="6BD0989C"/>
    <w:rsid w:val="6C0CC7F2"/>
    <w:rsid w:val="6C3AFE1F"/>
    <w:rsid w:val="6C5C0FA7"/>
    <w:rsid w:val="6C78C4EF"/>
    <w:rsid w:val="6C8B621E"/>
    <w:rsid w:val="6CB0372C"/>
    <w:rsid w:val="6CBBFE30"/>
    <w:rsid w:val="6CC77395"/>
    <w:rsid w:val="6CE1CC9C"/>
    <w:rsid w:val="6CF5026E"/>
    <w:rsid w:val="6D028D10"/>
    <w:rsid w:val="6D05E979"/>
    <w:rsid w:val="6D33EB4D"/>
    <w:rsid w:val="6D361625"/>
    <w:rsid w:val="6D4185C5"/>
    <w:rsid w:val="6D7712DD"/>
    <w:rsid w:val="6D935648"/>
    <w:rsid w:val="6DB106EC"/>
    <w:rsid w:val="6DB8647B"/>
    <w:rsid w:val="6DCEA5BD"/>
    <w:rsid w:val="6DF45F13"/>
    <w:rsid w:val="6DF9BD03"/>
    <w:rsid w:val="6E285701"/>
    <w:rsid w:val="6E598190"/>
    <w:rsid w:val="6E6BAAF4"/>
    <w:rsid w:val="6E9B2249"/>
    <w:rsid w:val="6EBAC14B"/>
    <w:rsid w:val="6EC319AE"/>
    <w:rsid w:val="6ED37384"/>
    <w:rsid w:val="6ED7D4B7"/>
    <w:rsid w:val="6EE0D61F"/>
    <w:rsid w:val="6F184ABC"/>
    <w:rsid w:val="6F21FB6B"/>
    <w:rsid w:val="6F51BE89"/>
    <w:rsid w:val="6F846516"/>
    <w:rsid w:val="701DD555"/>
    <w:rsid w:val="70478B84"/>
    <w:rsid w:val="704F007C"/>
    <w:rsid w:val="7063FE88"/>
    <w:rsid w:val="710F83E9"/>
    <w:rsid w:val="7118C660"/>
    <w:rsid w:val="71246B19"/>
    <w:rsid w:val="712D06C0"/>
    <w:rsid w:val="7136474C"/>
    <w:rsid w:val="714A7AE9"/>
    <w:rsid w:val="71619D6F"/>
    <w:rsid w:val="71868B6E"/>
    <w:rsid w:val="71980AC5"/>
    <w:rsid w:val="726C9B08"/>
    <w:rsid w:val="7283165E"/>
    <w:rsid w:val="72868101"/>
    <w:rsid w:val="729C6117"/>
    <w:rsid w:val="72AE9B53"/>
    <w:rsid w:val="72F81A6E"/>
    <w:rsid w:val="72FC3E2C"/>
    <w:rsid w:val="7315FE28"/>
    <w:rsid w:val="731D860C"/>
    <w:rsid w:val="73210154"/>
    <w:rsid w:val="73322EF1"/>
    <w:rsid w:val="733ED6C5"/>
    <w:rsid w:val="73D9162A"/>
    <w:rsid w:val="746275F1"/>
    <w:rsid w:val="7496E080"/>
    <w:rsid w:val="74C197DE"/>
    <w:rsid w:val="74C5A387"/>
    <w:rsid w:val="75059089"/>
    <w:rsid w:val="752B13F3"/>
    <w:rsid w:val="7569D69F"/>
    <w:rsid w:val="7571432F"/>
    <w:rsid w:val="7573E9C2"/>
    <w:rsid w:val="75B3AA38"/>
    <w:rsid w:val="7616EE75"/>
    <w:rsid w:val="761D6CE9"/>
    <w:rsid w:val="7667938B"/>
    <w:rsid w:val="76A860DA"/>
    <w:rsid w:val="76F9C2EA"/>
    <w:rsid w:val="77649494"/>
    <w:rsid w:val="7770123F"/>
    <w:rsid w:val="781FFA89"/>
    <w:rsid w:val="7850ABA8"/>
    <w:rsid w:val="786D1FB6"/>
    <w:rsid w:val="787CFABA"/>
    <w:rsid w:val="78A782FB"/>
    <w:rsid w:val="78B3AF2F"/>
    <w:rsid w:val="78BA9E44"/>
    <w:rsid w:val="790BE3C8"/>
    <w:rsid w:val="79487A12"/>
    <w:rsid w:val="79B70158"/>
    <w:rsid w:val="79E80E29"/>
    <w:rsid w:val="79ED2AAA"/>
    <w:rsid w:val="79F13FD0"/>
    <w:rsid w:val="7A3B1346"/>
    <w:rsid w:val="7A4A7EEF"/>
    <w:rsid w:val="7A5C547B"/>
    <w:rsid w:val="7A60F244"/>
    <w:rsid w:val="7A7BF9E3"/>
    <w:rsid w:val="7AD1D25B"/>
    <w:rsid w:val="7ADF8642"/>
    <w:rsid w:val="7AE03277"/>
    <w:rsid w:val="7AED25A0"/>
    <w:rsid w:val="7B5FB9CA"/>
    <w:rsid w:val="7BE0C2E7"/>
    <w:rsid w:val="7C1F4014"/>
    <w:rsid w:val="7C209A51"/>
    <w:rsid w:val="7C9487F9"/>
    <w:rsid w:val="7C9BDB61"/>
    <w:rsid w:val="7CA904B8"/>
    <w:rsid w:val="7CC6031B"/>
    <w:rsid w:val="7CCD95C7"/>
    <w:rsid w:val="7CD8A6FB"/>
    <w:rsid w:val="7D562726"/>
    <w:rsid w:val="7D7DCBAE"/>
    <w:rsid w:val="7DA0C8D2"/>
    <w:rsid w:val="7DC6A9A3"/>
    <w:rsid w:val="7DE3D299"/>
    <w:rsid w:val="7DFE308B"/>
    <w:rsid w:val="7E6C4B4A"/>
    <w:rsid w:val="7EFE6D30"/>
    <w:rsid w:val="7F003775"/>
    <w:rsid w:val="7F11A989"/>
    <w:rsid w:val="7F1C8512"/>
    <w:rsid w:val="7F212B66"/>
    <w:rsid w:val="7F2CD006"/>
    <w:rsid w:val="7F6F825B"/>
    <w:rsid w:val="7F77A668"/>
    <w:rsid w:val="7F8C2E8D"/>
    <w:rsid w:val="7F9D662F"/>
    <w:rsid w:val="7FD2A06D"/>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 w:type="table" w:customStyle="1" w:styleId="Tabelamrea8">
    <w:name w:val="Tabela – mreža8"/>
    <w:basedOn w:val="TableNormal"/>
    <w:next w:val="TableGrid"/>
    <w:uiPriority w:val="39"/>
    <w:rsid w:val="00EF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0366"/>
    <w:rPr>
      <w:b/>
      <w:bCs/>
    </w:rPr>
  </w:style>
  <w:style w:type="paragraph" w:customStyle="1" w:styleId="TekstEO">
    <w:name w:val="Tekst_EO"/>
    <w:basedOn w:val="Normal"/>
    <w:link w:val="TekstEOChar"/>
    <w:qFormat/>
    <w:rsid w:val="008C3D66"/>
    <w:pPr>
      <w:spacing w:line="240" w:lineRule="auto"/>
    </w:pPr>
    <w:rPr>
      <w:rFonts w:eastAsia="Times New Roman" w:cs="Times New Roman"/>
      <w:sz w:val="18"/>
      <w:szCs w:val="18"/>
    </w:rPr>
  </w:style>
  <w:style w:type="character" w:customStyle="1" w:styleId="TekstEOChar">
    <w:name w:val="Tekst_EO Char"/>
    <w:basedOn w:val="DefaultParagraphFont"/>
    <w:link w:val="TekstEO"/>
    <w:rsid w:val="008C3D66"/>
    <w:rPr>
      <w:rFonts w:ascii="Myriad Pro" w:eastAsia="Times New Roman" w:hAnsi="Myriad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86611">
      <w:bodyDiv w:val="1"/>
      <w:marLeft w:val="0"/>
      <w:marRight w:val="0"/>
      <w:marTop w:val="0"/>
      <w:marBottom w:val="0"/>
      <w:divBdr>
        <w:top w:val="none" w:sz="0" w:space="0" w:color="auto"/>
        <w:left w:val="none" w:sz="0" w:space="0" w:color="auto"/>
        <w:bottom w:val="none" w:sz="0" w:space="0" w:color="auto"/>
        <w:right w:val="none" w:sz="0" w:space="0" w:color="auto"/>
      </w:divBdr>
    </w:div>
    <w:div w:id="1823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F581-55B9-4336-83EF-3542E3F6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2023-11-21T11:47:00Z</dcterms:created>
  <dcterms:modified xsi:type="dcterms:W3CDTF">2023-11-21T11:47:00Z</dcterms:modified>
</cp:coreProperties>
</file>