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DB01" w14:textId="4228FBA0" w:rsidR="00D83C16" w:rsidRDefault="00D83C16" w:rsidP="001D6793">
      <w:pPr>
        <w:pStyle w:val="Naslov11"/>
      </w:pPr>
    </w:p>
    <w:p w14:paraId="394A0669" w14:textId="77777777" w:rsidR="002E0E98" w:rsidRDefault="002E0E98" w:rsidP="001D6793">
      <w:pPr>
        <w:pStyle w:val="Naslov11"/>
      </w:pPr>
    </w:p>
    <w:p w14:paraId="1A950F05" w14:textId="3268213C" w:rsidR="001D6793" w:rsidRPr="000E78BA" w:rsidRDefault="004B235F" w:rsidP="001D6793">
      <w:pPr>
        <w:pStyle w:val="Naslov11"/>
      </w:pPr>
      <w:r>
        <w:t>CHARTS OF THE WEEK</w:t>
      </w:r>
    </w:p>
    <w:p w14:paraId="636DFC9E" w14:textId="5C8F7C5E" w:rsidR="001D6793" w:rsidRPr="000E78BA" w:rsidRDefault="00383FBD" w:rsidP="001D6793">
      <w:pPr>
        <w:pStyle w:val="Naslov21"/>
      </w:pPr>
      <w:r>
        <w:t xml:space="preserve">8–12 January 2024 </w:t>
      </w:r>
    </w:p>
    <w:p w14:paraId="0D813662" w14:textId="62600A0A" w:rsidR="00DF4F0B" w:rsidRPr="000E78BA" w:rsidRDefault="00DF4F0B"/>
    <w:p w14:paraId="196DFF85" w14:textId="77777777" w:rsidR="00916FC4" w:rsidRPr="000E78BA" w:rsidRDefault="00916FC4"/>
    <w:p w14:paraId="7BEA1F8A" w14:textId="562336B9" w:rsidR="00D83C16" w:rsidRPr="00DF5D1B" w:rsidRDefault="00D83C16" w:rsidP="00D83C16">
      <w:pPr>
        <w:spacing w:line="240" w:lineRule="atLeast"/>
        <w:rPr>
          <w:bCs/>
          <w:color w:val="A6A6A6" w:themeColor="accent3"/>
        </w:rPr>
      </w:pPr>
      <w:r>
        <w:t xml:space="preserve">Production volume in manufacturing, which began to rise in all industry groups according to technology intensity in September 2023, was still lower in November than a year ago. </w:t>
      </w:r>
      <w:r>
        <w:rPr>
          <w:rStyle w:val="ui-provider"/>
        </w:rPr>
        <w:t xml:space="preserve">In the first eleven months of 2023, it was 3.2% lower year-on-year. </w:t>
      </w:r>
      <w:r>
        <w:t xml:space="preserve">The effects of high energy prices, which had the greatest impact on energy-intensive industries, started to ease gradually in the autumn months. According to data on the fiscal verification of invoices, turnover between 24 December 2023 and 6 January 2024 was lower year-on-year. It was more than one-tenth higher than in the previous 14-day period, due to the timing of the last working day before the Christmas holidays and the number of working days. </w:t>
      </w:r>
    </w:p>
    <w:p w14:paraId="4F6BDBA7" w14:textId="77777777" w:rsidR="00C70196" w:rsidRDefault="00C70196" w:rsidP="00C70196">
      <w:pPr>
        <w:tabs>
          <w:tab w:val="left" w:pos="580"/>
        </w:tabs>
      </w:pPr>
    </w:p>
    <w:p w14:paraId="77D66D1B" w14:textId="77777777" w:rsidR="00C70196" w:rsidRDefault="00C70196" w:rsidP="00C70196">
      <w:pPr>
        <w:tabs>
          <w:tab w:val="left" w:pos="580"/>
        </w:tabs>
      </w:pPr>
    </w:p>
    <w:tbl>
      <w:tblPr>
        <w:tblStyle w:val="Tabelamrea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3100"/>
        <w:gridCol w:w="1560"/>
      </w:tblGrid>
      <w:tr w:rsidR="00C70196" w14:paraId="4B1CB277" w14:textId="77777777" w:rsidTr="00D83C16">
        <w:trPr>
          <w:trHeight w:val="207"/>
        </w:trPr>
        <w:tc>
          <w:tcPr>
            <w:tcW w:w="8085" w:type="dxa"/>
            <w:gridSpan w:val="2"/>
            <w:tcBorders>
              <w:top w:val="nil"/>
              <w:left w:val="nil"/>
              <w:bottom w:val="single" w:sz="4" w:space="0" w:color="auto"/>
              <w:right w:val="nil"/>
            </w:tcBorders>
            <w:hideMark/>
          </w:tcPr>
          <w:p w14:paraId="7824A409" w14:textId="5853FD86" w:rsidR="00C70196" w:rsidRDefault="00B90C04">
            <w:pPr>
              <w:jc w:val="left"/>
              <w:rPr>
                <w:b/>
              </w:rPr>
            </w:pPr>
            <w:r w:rsidRPr="00B90C04">
              <w:rPr>
                <w:b/>
              </w:rPr>
              <w:t>Production volume in manufacturing, November 2023</w:t>
            </w:r>
          </w:p>
        </w:tc>
        <w:tc>
          <w:tcPr>
            <w:tcW w:w="1560" w:type="dxa"/>
            <w:tcBorders>
              <w:top w:val="nil"/>
              <w:left w:val="nil"/>
              <w:bottom w:val="single" w:sz="4" w:space="0" w:color="auto"/>
              <w:right w:val="nil"/>
            </w:tcBorders>
          </w:tcPr>
          <w:p w14:paraId="30B5D798" w14:textId="77777777" w:rsidR="00C70196" w:rsidRDefault="00C70196">
            <w:pPr>
              <w:rPr>
                <w:b/>
              </w:rPr>
            </w:pPr>
          </w:p>
        </w:tc>
      </w:tr>
      <w:tr w:rsidR="00D83C16" w14:paraId="77D881F0" w14:textId="77777777" w:rsidTr="00D83C16">
        <w:trPr>
          <w:trHeight w:val="1134"/>
        </w:trPr>
        <w:tc>
          <w:tcPr>
            <w:tcW w:w="4985" w:type="dxa"/>
            <w:tcBorders>
              <w:top w:val="single" w:sz="4" w:space="0" w:color="auto"/>
              <w:left w:val="nil"/>
              <w:bottom w:val="nil"/>
              <w:right w:val="nil"/>
            </w:tcBorders>
            <w:hideMark/>
          </w:tcPr>
          <w:p w14:paraId="26F76DAD" w14:textId="1A7A5454" w:rsidR="00D83C16" w:rsidRDefault="00B90C04" w:rsidP="00D83C16">
            <w:pPr>
              <w:rPr>
                <w:noProof/>
              </w:rPr>
            </w:pPr>
            <w:r>
              <w:rPr>
                <w:noProof/>
              </w:rPr>
              <w:drawing>
                <wp:inline distT="0" distB="0" distL="0" distR="0" wp14:anchorId="6201D6C2" wp14:editId="7B98ABD0">
                  <wp:extent cx="3114000" cy="234000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00" cy="23400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6F219EDD" w14:textId="5F593A49" w:rsidR="00D83C16" w:rsidRDefault="00D83C16" w:rsidP="00D83C16">
            <w:r>
              <w:rPr>
                <w:b/>
              </w:rPr>
              <w:t>Production volume in manufacturing, which started to strengthen in September 2023, was still lower in November than a year ago.</w:t>
            </w:r>
            <w:r>
              <w:t xml:space="preserve"> After bottoming out in August 2023, manufacturing production has risen in all industry groups according to technology intensity since the end of the third quarter. Against the backdrop of monthly production growth and the low base effect (influenced by high energy prices), the year-on-year decline in production weakened in October and November 2023. The effect of high energy prices, which had the greatest impact on energy-intensive industries, started to ease gradually. Only in the paper industry did the year-on-year decline in the final months of 2023 remain similar to the average for the first nine months of 2023 (around 20%), while in the other sectors the year-on-year decline was smaller or production increased year-on-year (in the manufacture of basic metals also due to the resumption of part of the production of a large direct customer). The year-on-year decline in most other manufacturing activities has also slowed since the middle of the third quarter, and production in October–November was on average around 0.5% lower than in the same period in 2022. In the first eleven months of 2023, manufacturing output was on average 3.2% lower year-on-year.</w:t>
            </w:r>
          </w:p>
        </w:tc>
      </w:tr>
    </w:tbl>
    <w:p w14:paraId="47FDC58E" w14:textId="77777777" w:rsidR="00C70196" w:rsidRDefault="00C70196" w:rsidP="00C70196">
      <w:pPr>
        <w:tabs>
          <w:tab w:val="left" w:pos="580"/>
        </w:tabs>
      </w:pPr>
    </w:p>
    <w:p w14:paraId="6D90ABAE" w14:textId="77777777" w:rsidR="00C70196" w:rsidRDefault="00C70196" w:rsidP="00C70196">
      <w:pPr>
        <w:tabs>
          <w:tab w:val="left" w:pos="580"/>
        </w:tabs>
      </w:pPr>
    </w:p>
    <w:p w14:paraId="718966F0" w14:textId="27106357" w:rsidR="00C93BA1" w:rsidRDefault="00C93BA1">
      <w:pPr>
        <w:spacing w:after="160" w:line="259" w:lineRule="auto"/>
        <w:jc w:val="left"/>
      </w:pPr>
      <w:r>
        <w:br w:type="page"/>
      </w: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2812"/>
        <w:gridCol w:w="1848"/>
      </w:tblGrid>
      <w:tr w:rsidR="00C70196" w14:paraId="4E7F216F" w14:textId="77777777" w:rsidTr="00C93BA1">
        <w:trPr>
          <w:trHeight w:val="207"/>
        </w:trPr>
        <w:tc>
          <w:tcPr>
            <w:tcW w:w="7797" w:type="dxa"/>
            <w:gridSpan w:val="2"/>
            <w:tcBorders>
              <w:top w:val="nil"/>
              <w:left w:val="nil"/>
              <w:bottom w:val="single" w:sz="4" w:space="0" w:color="auto"/>
              <w:right w:val="nil"/>
            </w:tcBorders>
            <w:hideMark/>
          </w:tcPr>
          <w:p w14:paraId="5F60CD8D" w14:textId="7F982ABE" w:rsidR="00C70196" w:rsidRDefault="00B90C04">
            <w:pPr>
              <w:pStyle w:val="Naslov31"/>
              <w:jc w:val="left"/>
            </w:pPr>
            <w:r>
              <w:lastRenderedPageBreak/>
              <w:t>Value of fiscally verified invoices, in nominal terms, 24 December 2023–6 January 2024</w:t>
            </w:r>
          </w:p>
        </w:tc>
        <w:tc>
          <w:tcPr>
            <w:tcW w:w="1848" w:type="dxa"/>
            <w:tcBorders>
              <w:top w:val="nil"/>
              <w:left w:val="nil"/>
              <w:bottom w:val="single" w:sz="4" w:space="0" w:color="auto"/>
              <w:right w:val="nil"/>
            </w:tcBorders>
          </w:tcPr>
          <w:p w14:paraId="1FBA709E" w14:textId="77777777" w:rsidR="00C70196" w:rsidRDefault="00C70196">
            <w:pPr>
              <w:pStyle w:val="Naslov31"/>
            </w:pPr>
          </w:p>
        </w:tc>
      </w:tr>
      <w:tr w:rsidR="00D83C16" w14:paraId="6558CCEF" w14:textId="77777777" w:rsidTr="00D83C16">
        <w:trPr>
          <w:trHeight w:val="1134"/>
        </w:trPr>
        <w:tc>
          <w:tcPr>
            <w:tcW w:w="4985" w:type="dxa"/>
            <w:tcBorders>
              <w:top w:val="single" w:sz="4" w:space="0" w:color="auto"/>
              <w:left w:val="nil"/>
              <w:bottom w:val="nil"/>
              <w:right w:val="nil"/>
            </w:tcBorders>
            <w:hideMark/>
          </w:tcPr>
          <w:p w14:paraId="7E327676" w14:textId="2B043483" w:rsidR="00D83C16" w:rsidRDefault="00B90C04" w:rsidP="00D83C16">
            <w:pPr>
              <w:pStyle w:val="Odstavekseznama"/>
              <w:ind w:left="0"/>
              <w:rPr>
                <w:rFonts w:eastAsia="Arial"/>
                <w:szCs w:val="20"/>
              </w:rPr>
            </w:pPr>
            <w:r>
              <w:rPr>
                <w:noProof/>
              </w:rPr>
              <w:drawing>
                <wp:inline distT="0" distB="0" distL="0" distR="0" wp14:anchorId="5B5F596F" wp14:editId="73F6DAFA">
                  <wp:extent cx="3009600" cy="2494800"/>
                  <wp:effectExtent l="0" t="0" r="635"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600" cy="24948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70F79695" w14:textId="50B300D1" w:rsidR="00D83C16" w:rsidRDefault="00D83C16" w:rsidP="00D83C16">
            <w:pPr>
              <w:spacing w:line="240" w:lineRule="atLeast"/>
              <w:rPr>
                <w:rFonts w:eastAsia="Arial"/>
                <w:szCs w:val="20"/>
              </w:rPr>
            </w:pPr>
            <w:r>
              <w:rPr>
                <w:b/>
                <w:color w:val="000000"/>
                <w:shd w:val="clear" w:color="auto" w:fill="FFFFFF"/>
              </w:rPr>
              <w:t>With two fewer working days than a year ago, the nominal value of fiscally verified invoices between 24 December 2023 and 6 January 2024 was 6% lower year-on-year.</w:t>
            </w:r>
            <w:r>
              <w:rPr>
                <w:color w:val="000000"/>
                <w:shd w:val="clear" w:color="auto" w:fill="FFFFFF"/>
              </w:rPr>
              <w:t xml:space="preserve"> After almost doubling in the previous 14-day period (11%), turnover fell year-on-year in the </w:t>
            </w:r>
            <w:proofErr w:type="gramStart"/>
            <w:r>
              <w:rPr>
                <w:color w:val="000000"/>
                <w:shd w:val="clear" w:color="auto" w:fill="FFFFFF"/>
              </w:rPr>
              <w:t>aforementioned</w:t>
            </w:r>
            <w:r w:rsidR="001D0633">
              <w:rPr>
                <w:color w:val="000000"/>
                <w:shd w:val="clear" w:color="auto" w:fill="FFFFFF"/>
              </w:rPr>
              <w:t xml:space="preserve"> </w:t>
            </w:r>
            <w:r>
              <w:rPr>
                <w:color w:val="000000"/>
                <w:shd w:val="clear" w:color="auto" w:fill="FFFFFF"/>
              </w:rPr>
              <w:t>period</w:t>
            </w:r>
            <w:proofErr w:type="gramEnd"/>
            <w:r>
              <w:rPr>
                <w:color w:val="000000"/>
                <w:shd w:val="clear" w:color="auto" w:fill="FFFFFF"/>
              </w:rPr>
              <w:t>. Fluctuations in the last two periods were influenced by the timing of the last working day before the Christmas holidays and the number of working days.</w:t>
            </w:r>
            <w:r w:rsidRPr="00C02FD7">
              <w:rPr>
                <w:color w:val="000000"/>
                <w:shd w:val="clear" w:color="auto" w:fill="FFFFFF"/>
                <w:vertAlign w:val="superscript"/>
              </w:rPr>
              <w:footnoteReference w:id="2"/>
            </w:r>
            <w:r>
              <w:rPr>
                <w:color w:val="000000"/>
                <w:shd w:val="clear" w:color="auto" w:fill="FFFFFF"/>
              </w:rPr>
              <w:t xml:space="preserve"> This had a particular impact on turnover in trade, where sales fell by 7% year-on-year after doubling in the previous period (to 10%). Year-on-year turnover growth in accommodation and food service activities and certain creative, arts, entertainment, and sports services and betting and gambling was lower than in the previous two 14-day periods (overall growth in accommodation and food service activities and in other service activities</w:t>
            </w:r>
            <w:r w:rsidRPr="00C02FD7">
              <w:rPr>
                <w:color w:val="000000"/>
                <w:shd w:val="clear" w:color="auto" w:fill="FFFFFF"/>
                <w:vertAlign w:val="superscript"/>
              </w:rPr>
              <w:footnoteReference w:id="3"/>
            </w:r>
            <w:r>
              <w:rPr>
                <w:color w:val="000000"/>
                <w:shd w:val="clear" w:color="auto" w:fill="FFFFFF"/>
              </w:rPr>
              <w:t xml:space="preserve"> fell from 12% to 7%).</w:t>
            </w:r>
          </w:p>
        </w:tc>
      </w:tr>
    </w:tbl>
    <w:p w14:paraId="1ABAE1F1" w14:textId="77777777" w:rsidR="00C70196" w:rsidRDefault="00C70196" w:rsidP="00C70196">
      <w:pPr>
        <w:tabs>
          <w:tab w:val="left" w:pos="580"/>
        </w:tabs>
      </w:pPr>
    </w:p>
    <w:p w14:paraId="2EB512BC" w14:textId="77777777" w:rsidR="002E0E98" w:rsidRDefault="002E0E98" w:rsidP="00C70196">
      <w:pPr>
        <w:spacing w:after="160" w:line="256" w:lineRule="auto"/>
        <w:jc w:val="left"/>
        <w:sectPr w:rsidR="002E0E98" w:rsidSect="00C93BA1">
          <w:headerReference w:type="default" r:id="rId10"/>
          <w:headerReference w:type="first" r:id="rId11"/>
          <w:pgSz w:w="11906" w:h="16838"/>
          <w:pgMar w:top="1134" w:right="1134" w:bottom="1021" w:left="1134" w:header="709" w:footer="397" w:gutter="0"/>
          <w:cols w:space="708"/>
          <w:titlePg/>
          <w:docGrid w:linePitch="360"/>
        </w:sectPr>
      </w:pPr>
    </w:p>
    <w:p w14:paraId="2051E3C0" w14:textId="2F0A72B0" w:rsidR="00C70196" w:rsidRDefault="005B3452" w:rsidP="00C70196">
      <w:pPr>
        <w:tabs>
          <w:tab w:val="left" w:pos="580"/>
        </w:tabs>
      </w:pPr>
      <w:r>
        <w:rPr>
          <w:noProof/>
        </w:rPr>
        <w:lastRenderedPageBreak/>
        <w:drawing>
          <wp:inline distT="0" distB="0" distL="0" distR="0" wp14:anchorId="56DB7B79" wp14:editId="0C2788C3">
            <wp:extent cx="6355016" cy="8484124"/>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8927" cy="8489346"/>
                    </a:xfrm>
                    <a:prstGeom prst="rect">
                      <a:avLst/>
                    </a:prstGeom>
                    <a:noFill/>
                    <a:ln>
                      <a:noFill/>
                    </a:ln>
                  </pic:spPr>
                </pic:pic>
              </a:graphicData>
            </a:graphic>
          </wp:inline>
        </w:drawing>
      </w:r>
    </w:p>
    <w:p w14:paraId="515F4F7F" w14:textId="77777777" w:rsidR="00A03401" w:rsidRPr="000E78BA" w:rsidRDefault="00A03401" w:rsidP="00C26C8D">
      <w:pPr>
        <w:tabs>
          <w:tab w:val="left" w:pos="580"/>
        </w:tabs>
      </w:pPr>
    </w:p>
    <w:p w14:paraId="26A312A6" w14:textId="5C030EA9" w:rsidR="002E69B6" w:rsidRPr="000E78BA" w:rsidRDefault="002E69B6" w:rsidP="00C26C8D">
      <w:pPr>
        <w:tabs>
          <w:tab w:val="left" w:pos="580"/>
        </w:tabs>
      </w:pPr>
    </w:p>
    <w:sectPr w:rsidR="002E69B6" w:rsidRPr="000E78BA" w:rsidSect="00363E63">
      <w:headerReference w:type="default" r:id="rId13"/>
      <w:footerReference w:type="default" r:id="rId14"/>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C182" w14:textId="77777777" w:rsidR="009B6409" w:rsidRDefault="009B6409" w:rsidP="0063497B">
      <w:pPr>
        <w:spacing w:line="240" w:lineRule="auto"/>
      </w:pPr>
      <w:r>
        <w:separator/>
      </w:r>
    </w:p>
  </w:endnote>
  <w:endnote w:type="continuationSeparator" w:id="0">
    <w:p w14:paraId="3E2F7804" w14:textId="77777777" w:rsidR="009B6409" w:rsidRDefault="009B6409" w:rsidP="0063497B">
      <w:pPr>
        <w:spacing w:line="240" w:lineRule="auto"/>
      </w:pPr>
      <w:r>
        <w:continuationSeparator/>
      </w:r>
    </w:p>
  </w:endnote>
  <w:endnote w:type="continuationNotice" w:id="1">
    <w:p w14:paraId="518E9496" w14:textId="77777777" w:rsidR="009B6409" w:rsidRDefault="009B64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FC16" w14:textId="77777777" w:rsidR="00C93BA1" w:rsidRPr="00C26C8D" w:rsidRDefault="00C93BA1" w:rsidP="00C93BA1">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2ACE924A" w14:textId="77777777" w:rsidR="00C93BA1" w:rsidRPr="00C26C8D" w:rsidRDefault="00C93BA1" w:rsidP="00C93BA1">
    <w:pPr>
      <w:pStyle w:val="Naslov31"/>
      <w:tabs>
        <w:tab w:val="right" w:pos="9638"/>
      </w:tabs>
      <w:jc w:val="left"/>
      <w:rPr>
        <w:b w:val="0"/>
        <w:sz w:val="18"/>
        <w:szCs w:val="18"/>
      </w:rPr>
    </w:pPr>
  </w:p>
  <w:p w14:paraId="51CEE07F" w14:textId="77777777" w:rsidR="00C93BA1" w:rsidRPr="00363E63" w:rsidRDefault="00C93BA1" w:rsidP="00C93BA1">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B4F2" w14:textId="77777777" w:rsidR="009B6409" w:rsidRDefault="009B6409" w:rsidP="0063497B">
      <w:pPr>
        <w:spacing w:line="240" w:lineRule="auto"/>
      </w:pPr>
      <w:r>
        <w:separator/>
      </w:r>
    </w:p>
  </w:footnote>
  <w:footnote w:type="continuationSeparator" w:id="0">
    <w:p w14:paraId="4866DC22" w14:textId="77777777" w:rsidR="009B6409" w:rsidRDefault="009B6409" w:rsidP="0063497B">
      <w:pPr>
        <w:spacing w:line="240" w:lineRule="auto"/>
      </w:pPr>
      <w:r>
        <w:continuationSeparator/>
      </w:r>
    </w:p>
  </w:footnote>
  <w:footnote w:type="continuationNotice" w:id="1">
    <w:p w14:paraId="0ABECC6E" w14:textId="77777777" w:rsidR="009B6409" w:rsidRDefault="009B6409">
      <w:pPr>
        <w:spacing w:line="240" w:lineRule="auto"/>
      </w:pPr>
    </w:p>
  </w:footnote>
  <w:footnote w:id="2">
    <w:p w14:paraId="7A88CA06" w14:textId="77777777" w:rsidR="00D83C16" w:rsidRPr="00666DB2" w:rsidRDefault="00D83C16" w:rsidP="001D0633">
      <w:pPr>
        <w:pStyle w:val="Sprotnaopomba-besedilo"/>
        <w:rPr>
          <w:szCs w:val="16"/>
        </w:rPr>
      </w:pPr>
      <w:r>
        <w:rPr>
          <w:szCs w:val="16"/>
          <w:vertAlign w:val="superscript"/>
        </w:rPr>
        <w:footnoteRef/>
      </w:r>
      <w:r>
        <w:t xml:space="preserve"> The last working day before Christmas in 2023 was 23 December, while in 2022 it was 24 December. There were two fewer working days in the given period than a year ago.</w:t>
      </w:r>
    </w:p>
  </w:footnote>
  <w:footnote w:id="3">
    <w:p w14:paraId="6CBB4156" w14:textId="77777777" w:rsidR="00D83C16" w:rsidRPr="00E81E0B" w:rsidRDefault="00D83C16" w:rsidP="001D0633">
      <w:pPr>
        <w:pStyle w:val="Sprotnaopomba-besedilo"/>
        <w:rPr>
          <w:rFonts w:eastAsia="Myriad Pro" w:cs="Myriad Pro"/>
          <w:color w:val="000000" w:themeColor="text1"/>
          <w:szCs w:val="16"/>
        </w:rPr>
      </w:pPr>
      <w:r>
        <w:rPr>
          <w:rStyle w:val="Sprotnaopomba-sklic"/>
          <w:szCs w:val="16"/>
        </w:rPr>
        <w:footnoteRef/>
      </w:r>
      <w:r>
        <w:t xml:space="preserve"> Activities R, S and T according to NACE classification</w:t>
      </w:r>
      <w:r>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D11A" w14:textId="26ED98A5" w:rsidR="00C93BA1" w:rsidRPr="002E0E98" w:rsidRDefault="00C93BA1" w:rsidP="00C93BA1">
    <w:pPr>
      <w:tabs>
        <w:tab w:val="center" w:pos="4536"/>
        <w:tab w:val="right" w:pos="9072"/>
      </w:tabs>
      <w:spacing w:line="240" w:lineRule="auto"/>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83AE" w14:textId="66CB3AF2" w:rsidR="00C93BA1" w:rsidRDefault="00C93BA1" w:rsidP="00C93BA1">
    <w:pPr>
      <w:jc w:val="right"/>
    </w:pPr>
    <w:r>
      <w:rPr>
        <w:noProof/>
      </w:rPr>
      <w:drawing>
        <wp:anchor distT="0" distB="0" distL="114300" distR="114300" simplePos="0" relativeHeight="251660288" behindDoc="0" locked="0" layoutInCell="1" allowOverlap="1" wp14:anchorId="78416FBE" wp14:editId="0168B18E">
          <wp:simplePos x="0" y="0"/>
          <wp:positionH relativeFrom="column">
            <wp:posOffset>-313690</wp:posOffset>
          </wp:positionH>
          <wp:positionV relativeFrom="paragraph">
            <wp:posOffset>60960</wp:posOffset>
          </wp:positionV>
          <wp:extent cx="1155700" cy="1002030"/>
          <wp:effectExtent l="0" t="0" r="6350" b="762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15</w:t>
    </w:r>
    <w:r>
      <w:t xml:space="preserve"> January 2024</w:t>
    </w:r>
  </w:p>
  <w:p w14:paraId="2739810E" w14:textId="77777777" w:rsidR="00C93BA1" w:rsidRDefault="00C93BA1" w:rsidP="00C93BA1">
    <w:pPr>
      <w:jc w:val="right"/>
    </w:pPr>
  </w:p>
  <w:p w14:paraId="5AC00AE7" w14:textId="77777777" w:rsidR="00C93BA1" w:rsidRDefault="00C93BA1" w:rsidP="00C93BA1">
    <w:pPr>
      <w:pStyle w:val="Glav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F68" w14:textId="77777777" w:rsidR="002E0E98" w:rsidRPr="002E0E98" w:rsidRDefault="002E0E98" w:rsidP="002E0E98">
    <w:pPr>
      <w:tabs>
        <w:tab w:val="center" w:pos="4536"/>
        <w:tab w:val="right" w:pos="9072"/>
      </w:tabs>
      <w:spacing w:line="240" w:lineRule="auto"/>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415250465">
    <w:abstractNumId w:val="0"/>
  </w:num>
  <w:num w:numId="2" w16cid:durableId="102899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spelling="clean" w:grammar="clean"/>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5757B"/>
    <w:rsid w:val="00060808"/>
    <w:rsid w:val="00061F03"/>
    <w:rsid w:val="00062E0D"/>
    <w:rsid w:val="00063EB4"/>
    <w:rsid w:val="00064E87"/>
    <w:rsid w:val="00065B72"/>
    <w:rsid w:val="00066060"/>
    <w:rsid w:val="00067FF8"/>
    <w:rsid w:val="00070313"/>
    <w:rsid w:val="000703C7"/>
    <w:rsid w:val="00070B6E"/>
    <w:rsid w:val="00071007"/>
    <w:rsid w:val="0007271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0EAE"/>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0633"/>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0531"/>
    <w:rsid w:val="002D46EF"/>
    <w:rsid w:val="002D753B"/>
    <w:rsid w:val="002D77C5"/>
    <w:rsid w:val="002E0E98"/>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3A4"/>
    <w:rsid w:val="0034385F"/>
    <w:rsid w:val="003443B1"/>
    <w:rsid w:val="00345706"/>
    <w:rsid w:val="00346E79"/>
    <w:rsid w:val="00350999"/>
    <w:rsid w:val="00350A64"/>
    <w:rsid w:val="003524EB"/>
    <w:rsid w:val="00352DF2"/>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31A6"/>
    <w:rsid w:val="00383FBD"/>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62A1"/>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3BB2"/>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B5C62"/>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3452"/>
    <w:rsid w:val="005B4C57"/>
    <w:rsid w:val="005B6FC5"/>
    <w:rsid w:val="005C2106"/>
    <w:rsid w:val="005C2C5C"/>
    <w:rsid w:val="005C3B6F"/>
    <w:rsid w:val="005C489E"/>
    <w:rsid w:val="005C4D2E"/>
    <w:rsid w:val="005D285A"/>
    <w:rsid w:val="005D3726"/>
    <w:rsid w:val="005D7078"/>
    <w:rsid w:val="005D71A4"/>
    <w:rsid w:val="005E6CD4"/>
    <w:rsid w:val="005E6F08"/>
    <w:rsid w:val="005F0A22"/>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271E9"/>
    <w:rsid w:val="00731125"/>
    <w:rsid w:val="00731B6F"/>
    <w:rsid w:val="00737361"/>
    <w:rsid w:val="0074452D"/>
    <w:rsid w:val="0074466E"/>
    <w:rsid w:val="00744E82"/>
    <w:rsid w:val="007454DD"/>
    <w:rsid w:val="00750B0D"/>
    <w:rsid w:val="007511AD"/>
    <w:rsid w:val="00751346"/>
    <w:rsid w:val="00755B49"/>
    <w:rsid w:val="00760562"/>
    <w:rsid w:val="00762194"/>
    <w:rsid w:val="00766241"/>
    <w:rsid w:val="00771468"/>
    <w:rsid w:val="00771D42"/>
    <w:rsid w:val="007761B2"/>
    <w:rsid w:val="00777337"/>
    <w:rsid w:val="0078321F"/>
    <w:rsid w:val="007835C9"/>
    <w:rsid w:val="00786303"/>
    <w:rsid w:val="00793A1E"/>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6069"/>
    <w:rsid w:val="0080038A"/>
    <w:rsid w:val="00800BCD"/>
    <w:rsid w:val="00801D7A"/>
    <w:rsid w:val="00803C56"/>
    <w:rsid w:val="0080541B"/>
    <w:rsid w:val="00805D7C"/>
    <w:rsid w:val="00807C68"/>
    <w:rsid w:val="00812D81"/>
    <w:rsid w:val="00820AB1"/>
    <w:rsid w:val="00827BAD"/>
    <w:rsid w:val="0083025B"/>
    <w:rsid w:val="0083204F"/>
    <w:rsid w:val="00833C7F"/>
    <w:rsid w:val="00835A2A"/>
    <w:rsid w:val="00840074"/>
    <w:rsid w:val="0084204C"/>
    <w:rsid w:val="0084348E"/>
    <w:rsid w:val="008442F2"/>
    <w:rsid w:val="00852E3D"/>
    <w:rsid w:val="00856375"/>
    <w:rsid w:val="00860582"/>
    <w:rsid w:val="0086145E"/>
    <w:rsid w:val="00864254"/>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49C9"/>
    <w:rsid w:val="008D52F1"/>
    <w:rsid w:val="008E245D"/>
    <w:rsid w:val="008E4669"/>
    <w:rsid w:val="008E65B2"/>
    <w:rsid w:val="008F2C7A"/>
    <w:rsid w:val="00902C77"/>
    <w:rsid w:val="0090688B"/>
    <w:rsid w:val="00910265"/>
    <w:rsid w:val="00910A6B"/>
    <w:rsid w:val="0091385F"/>
    <w:rsid w:val="00916FC4"/>
    <w:rsid w:val="0091753E"/>
    <w:rsid w:val="00926E02"/>
    <w:rsid w:val="00926E76"/>
    <w:rsid w:val="0093604B"/>
    <w:rsid w:val="00936BD2"/>
    <w:rsid w:val="00942927"/>
    <w:rsid w:val="00943A1A"/>
    <w:rsid w:val="009446E5"/>
    <w:rsid w:val="00944DCF"/>
    <w:rsid w:val="00946C4C"/>
    <w:rsid w:val="009470CD"/>
    <w:rsid w:val="00947144"/>
    <w:rsid w:val="0095229A"/>
    <w:rsid w:val="00957866"/>
    <w:rsid w:val="00957EAF"/>
    <w:rsid w:val="00962B9A"/>
    <w:rsid w:val="009637B0"/>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409"/>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5FCE"/>
    <w:rsid w:val="00A365C4"/>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0C04"/>
    <w:rsid w:val="00B92DA1"/>
    <w:rsid w:val="00B9429F"/>
    <w:rsid w:val="00B95E76"/>
    <w:rsid w:val="00BA06C6"/>
    <w:rsid w:val="00BA0F00"/>
    <w:rsid w:val="00BA17CB"/>
    <w:rsid w:val="00BA1DBC"/>
    <w:rsid w:val="00BA206E"/>
    <w:rsid w:val="00BA4013"/>
    <w:rsid w:val="00BA4836"/>
    <w:rsid w:val="00BA51FC"/>
    <w:rsid w:val="00BA5775"/>
    <w:rsid w:val="00BB1F9B"/>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0ADC"/>
    <w:rsid w:val="00C11346"/>
    <w:rsid w:val="00C11F86"/>
    <w:rsid w:val="00C15F4B"/>
    <w:rsid w:val="00C170D6"/>
    <w:rsid w:val="00C26C8D"/>
    <w:rsid w:val="00C31DD3"/>
    <w:rsid w:val="00C329DC"/>
    <w:rsid w:val="00C33431"/>
    <w:rsid w:val="00C35959"/>
    <w:rsid w:val="00C45012"/>
    <w:rsid w:val="00C54755"/>
    <w:rsid w:val="00C57605"/>
    <w:rsid w:val="00C65B2C"/>
    <w:rsid w:val="00C70196"/>
    <w:rsid w:val="00C70AD6"/>
    <w:rsid w:val="00C73E30"/>
    <w:rsid w:val="00C74201"/>
    <w:rsid w:val="00C75108"/>
    <w:rsid w:val="00C75FAF"/>
    <w:rsid w:val="00C765E5"/>
    <w:rsid w:val="00C80811"/>
    <w:rsid w:val="00C8316C"/>
    <w:rsid w:val="00C926E8"/>
    <w:rsid w:val="00C92B01"/>
    <w:rsid w:val="00C93BA1"/>
    <w:rsid w:val="00C96FE7"/>
    <w:rsid w:val="00CA6734"/>
    <w:rsid w:val="00CB185C"/>
    <w:rsid w:val="00CB2C49"/>
    <w:rsid w:val="00CB6AC7"/>
    <w:rsid w:val="00CC6016"/>
    <w:rsid w:val="00CC6777"/>
    <w:rsid w:val="00CE3753"/>
    <w:rsid w:val="00CE5C98"/>
    <w:rsid w:val="00CF2E94"/>
    <w:rsid w:val="00CF4288"/>
    <w:rsid w:val="00CF5F66"/>
    <w:rsid w:val="00CF6407"/>
    <w:rsid w:val="00D04063"/>
    <w:rsid w:val="00D04ECC"/>
    <w:rsid w:val="00D1159C"/>
    <w:rsid w:val="00D127B3"/>
    <w:rsid w:val="00D149C7"/>
    <w:rsid w:val="00D21920"/>
    <w:rsid w:val="00D232D1"/>
    <w:rsid w:val="00D24CD5"/>
    <w:rsid w:val="00D25360"/>
    <w:rsid w:val="00D269D1"/>
    <w:rsid w:val="00D274BC"/>
    <w:rsid w:val="00D2766A"/>
    <w:rsid w:val="00D27BDB"/>
    <w:rsid w:val="00D312B6"/>
    <w:rsid w:val="00D314BE"/>
    <w:rsid w:val="00D33C9A"/>
    <w:rsid w:val="00D33D88"/>
    <w:rsid w:val="00D35253"/>
    <w:rsid w:val="00D41ECD"/>
    <w:rsid w:val="00D44A56"/>
    <w:rsid w:val="00D455E8"/>
    <w:rsid w:val="00D459DF"/>
    <w:rsid w:val="00D46AC2"/>
    <w:rsid w:val="00D47930"/>
    <w:rsid w:val="00D5391B"/>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3C16"/>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140"/>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1683"/>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16C"/>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5E1157"/>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1CB15F"/>
    <w:rsid w:val="0F2DFF10"/>
    <w:rsid w:val="104BF435"/>
    <w:rsid w:val="12C59ED2"/>
    <w:rsid w:val="14D773A8"/>
    <w:rsid w:val="15648222"/>
    <w:rsid w:val="161A47A2"/>
    <w:rsid w:val="16D7EF1A"/>
    <w:rsid w:val="180190B5"/>
    <w:rsid w:val="1A6010B3"/>
    <w:rsid w:val="1B45274C"/>
    <w:rsid w:val="1EAB80BA"/>
    <w:rsid w:val="1F7749D5"/>
    <w:rsid w:val="1F8EE846"/>
    <w:rsid w:val="20B5DC81"/>
    <w:rsid w:val="20FFA904"/>
    <w:rsid w:val="21F19F53"/>
    <w:rsid w:val="25AD6274"/>
    <w:rsid w:val="269637BF"/>
    <w:rsid w:val="2718FE7D"/>
    <w:rsid w:val="29418CB0"/>
    <w:rsid w:val="295213D4"/>
    <w:rsid w:val="2BA209DD"/>
    <w:rsid w:val="2C239232"/>
    <w:rsid w:val="2C9C4664"/>
    <w:rsid w:val="2CBA2D16"/>
    <w:rsid w:val="2CE1AD55"/>
    <w:rsid w:val="2D6C1016"/>
    <w:rsid w:val="2EDD5153"/>
    <w:rsid w:val="2F11B8C3"/>
    <w:rsid w:val="2FE10101"/>
    <w:rsid w:val="302CF70A"/>
    <w:rsid w:val="3114DAE0"/>
    <w:rsid w:val="312594C6"/>
    <w:rsid w:val="316A4AD8"/>
    <w:rsid w:val="316DABEB"/>
    <w:rsid w:val="322803DB"/>
    <w:rsid w:val="323F8139"/>
    <w:rsid w:val="3250E8AC"/>
    <w:rsid w:val="32CBBFB0"/>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 w:type="character" w:customStyle="1" w:styleId="VodilnistavekUMAR">
    <w:name w:val="Vodilni stavek_UMAR"/>
    <w:basedOn w:val="Privzetapisavaodstavka"/>
    <w:qFormat/>
    <w:rsid w:val="00C70196"/>
    <w:rPr>
      <w:b/>
      <w:bCs w:val="0"/>
    </w:rPr>
  </w:style>
  <w:style w:type="table" w:customStyle="1" w:styleId="Tabelamrea1">
    <w:name w:val="Tabela – mreža1"/>
    <w:basedOn w:val="Navadnatabela"/>
    <w:uiPriority w:val="39"/>
    <w:rsid w:val="00C701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rivzetapisavaodstavka"/>
    <w:rsid w:val="00D8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EA6D-8706-4F7C-9B89-D322538F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2024-01-15T08:55:00Z</dcterms:created>
  <dcterms:modified xsi:type="dcterms:W3CDTF">2024-01-15T08:55:00Z</dcterms:modified>
</cp:coreProperties>
</file>