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24C5B" w14:textId="77777777" w:rsidR="00415DC9" w:rsidRDefault="00882CFE" w:rsidP="001D6793">
      <w:pPr>
        <w:pStyle w:val="GTNaslov1"/>
        <w:rPr>
          <w:b w:val="0"/>
        </w:rPr>
      </w:pPr>
      <w:r>
        <w:t>CHARTS OF THE WEEK</w:t>
      </w:r>
    </w:p>
    <w:p w14:paraId="0AA809B1" w14:textId="0E4E92D6" w:rsidR="001D6793" w:rsidRPr="0040630F" w:rsidRDefault="007D5F4F" w:rsidP="001D6793">
      <w:pPr>
        <w:pStyle w:val="GTNaslov1"/>
        <w:rPr>
          <w:b w:val="0"/>
          <w:bCs/>
        </w:rPr>
      </w:pPr>
      <w:r>
        <w:rPr>
          <w:b w:val="0"/>
          <w:bCs/>
        </w:rPr>
        <w:t>17</w:t>
      </w:r>
      <w:r w:rsidR="00882CFE" w:rsidRPr="00882CFE">
        <w:rPr>
          <w:b w:val="0"/>
          <w:bCs/>
        </w:rPr>
        <w:t>–</w:t>
      </w:r>
      <w:r>
        <w:rPr>
          <w:b w:val="0"/>
          <w:bCs/>
        </w:rPr>
        <w:t>28</w:t>
      </w:r>
      <w:r w:rsidR="00882CFE"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June</w:t>
      </w:r>
      <w:proofErr w:type="spellEnd"/>
      <w:r w:rsidR="00882CFE">
        <w:rPr>
          <w:b w:val="0"/>
          <w:bCs/>
        </w:rPr>
        <w:t xml:space="preserve"> 2024</w:t>
      </w:r>
    </w:p>
    <w:p w14:paraId="6B887B7A" w14:textId="77777777" w:rsidR="00DF4F0B" w:rsidRDefault="00DF4F0B"/>
    <w:p w14:paraId="6DF5EFA7" w14:textId="31CF7C76" w:rsidR="007D0791" w:rsidRPr="0026694E" w:rsidRDefault="00506A6D" w:rsidP="00F14FF8">
      <w:pPr>
        <w:pStyle w:val="GTBesedilo"/>
        <w:rPr>
          <w:szCs w:val="20"/>
        </w:rPr>
      </w:pPr>
      <w:bookmarkStart w:id="0" w:name="_Hlk54096721"/>
      <w:proofErr w:type="spellStart"/>
      <w:r>
        <w:t>Consumer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 is </w:t>
      </w:r>
      <w:proofErr w:type="spellStart"/>
      <w:r>
        <w:t>rapidly</w:t>
      </w:r>
      <w:proofErr w:type="spellEnd"/>
      <w:r>
        <w:t xml:space="preserve"> </w:t>
      </w:r>
      <w:proofErr w:type="spellStart"/>
      <w:r>
        <w:t>weakening</w:t>
      </w:r>
      <w:proofErr w:type="spellEnd"/>
      <w:r>
        <w:t xml:space="preserve">. In </w:t>
      </w:r>
      <w:proofErr w:type="spellStart"/>
      <w:r>
        <w:t>June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year</w:t>
      </w:r>
      <w:proofErr w:type="spellEnd"/>
      <w:r>
        <w:t>-on-</w:t>
      </w:r>
      <w:proofErr w:type="spellStart"/>
      <w:r>
        <w:t>year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lowest</w:t>
      </w:r>
      <w:proofErr w:type="spellEnd"/>
      <w:r>
        <w:t xml:space="preserve"> it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in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(1.5%), </w:t>
      </w:r>
      <w:proofErr w:type="spellStart"/>
      <w:r>
        <w:t>mostly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high</w:t>
      </w:r>
      <w:proofErr w:type="spellEnd"/>
      <w:r>
        <w:t xml:space="preserve"> base </w:t>
      </w:r>
      <w:proofErr w:type="spellStart"/>
      <w:r>
        <w:t>of</w:t>
      </w:r>
      <w:proofErr w:type="spellEnd"/>
      <w:r>
        <w:t xml:space="preserve"> last </w:t>
      </w:r>
      <w:proofErr w:type="spellStart"/>
      <w:r>
        <w:t>year</w:t>
      </w:r>
      <w:proofErr w:type="spellEnd"/>
      <w:r>
        <w:t xml:space="preserve">. Amid </w:t>
      </w:r>
      <w:proofErr w:type="spellStart"/>
      <w:r>
        <w:t>slightly</w:t>
      </w:r>
      <w:proofErr w:type="spellEnd"/>
      <w:r>
        <w:t xml:space="preserve">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inflation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year</w:t>
      </w:r>
      <w:proofErr w:type="spellEnd"/>
      <w:r>
        <w:t>-on-</w:t>
      </w:r>
      <w:proofErr w:type="spellStart"/>
      <w:r>
        <w:t>year</w:t>
      </w:r>
      <w:proofErr w:type="spellEnd"/>
      <w:r>
        <w:t xml:space="preserve"> real </w:t>
      </w:r>
      <w:proofErr w:type="spellStart"/>
      <w:r>
        <w:t>growth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 </w:t>
      </w:r>
      <w:proofErr w:type="spellStart"/>
      <w:r>
        <w:t>gross</w:t>
      </w:r>
      <w:proofErr w:type="spellEnd"/>
      <w:r>
        <w:t xml:space="preserve"> </w:t>
      </w:r>
      <w:proofErr w:type="spellStart"/>
      <w:r>
        <w:t>wage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in April </w:t>
      </w:r>
      <w:proofErr w:type="spellStart"/>
      <w:r>
        <w:t>than</w:t>
      </w:r>
      <w:proofErr w:type="spellEnd"/>
      <w:r>
        <w:t xml:space="preserve"> in </w:t>
      </w:r>
      <w:proofErr w:type="spellStart"/>
      <w:r>
        <w:t>March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primarily</w:t>
      </w:r>
      <w:proofErr w:type="spellEnd"/>
      <w:r>
        <w:t xml:space="preserve"> </w:t>
      </w:r>
      <w:proofErr w:type="spellStart"/>
      <w:r>
        <w:t>recorded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sector</w:t>
      </w:r>
      <w:proofErr w:type="spellEnd"/>
      <w:r>
        <w:t xml:space="preserve">. In April,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year</w:t>
      </w:r>
      <w:proofErr w:type="spellEnd"/>
      <w:r>
        <w:t>-on-</w:t>
      </w:r>
      <w:proofErr w:type="spellStart"/>
      <w:r>
        <w:t>year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in </w:t>
      </w:r>
      <w:proofErr w:type="spellStart"/>
      <w:r>
        <w:t>employment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to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citizens</w:t>
      </w:r>
      <w:proofErr w:type="spellEnd"/>
      <w:r>
        <w:t xml:space="preserve">. Real </w:t>
      </w:r>
      <w:proofErr w:type="spellStart"/>
      <w:r>
        <w:t>income</w:t>
      </w:r>
      <w:proofErr w:type="spellEnd"/>
      <w:r>
        <w:t xml:space="preserve"> in most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sectors</w:t>
      </w:r>
      <w:proofErr w:type="spellEnd"/>
      <w:r>
        <w:t xml:space="preserve"> rose in April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remained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a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earlier</w:t>
      </w:r>
      <w:proofErr w:type="spellEnd"/>
      <w:r>
        <w:t xml:space="preserve">. </w:t>
      </w:r>
      <w:proofErr w:type="spellStart"/>
      <w:r>
        <w:t>However</w:t>
      </w:r>
      <w:proofErr w:type="spellEnd"/>
      <w:r>
        <w:t xml:space="preserve">, real </w:t>
      </w:r>
      <w:proofErr w:type="spellStart"/>
      <w:r>
        <w:t>income</w:t>
      </w:r>
      <w:proofErr w:type="spellEnd"/>
      <w:r>
        <w:t xml:space="preserve"> in market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decreased</w:t>
      </w:r>
      <w:proofErr w:type="spellEnd"/>
      <w:r>
        <w:t xml:space="preserve"> </w:t>
      </w:r>
      <w:proofErr w:type="spellStart"/>
      <w:r>
        <w:t>slightly</w:t>
      </w:r>
      <w:proofErr w:type="spellEnd"/>
      <w:r>
        <w:t xml:space="preserve"> in April, </w:t>
      </w:r>
      <w:proofErr w:type="spellStart"/>
      <w:r>
        <w:t>but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months</w:t>
      </w:r>
      <w:proofErr w:type="spellEnd"/>
      <w:r>
        <w:t xml:space="preserve">, it </w:t>
      </w:r>
      <w:proofErr w:type="spellStart"/>
      <w:r>
        <w:t>was</w:t>
      </w:r>
      <w:proofErr w:type="spellEnd"/>
      <w:r>
        <w:t xml:space="preserve">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year</w:t>
      </w:r>
      <w:proofErr w:type="spellEnd"/>
      <w:r>
        <w:t>-on-</w:t>
      </w:r>
      <w:proofErr w:type="spellStart"/>
      <w:r>
        <w:t>year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in </w:t>
      </w:r>
      <w:proofErr w:type="spellStart"/>
      <w:r>
        <w:t>transportation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storage</w:t>
      </w:r>
      <w:proofErr w:type="spellEnd"/>
      <w:r>
        <w:t xml:space="preserve">. </w:t>
      </w:r>
      <w:proofErr w:type="spellStart"/>
      <w:r>
        <w:t>Economic</w:t>
      </w:r>
      <w:proofErr w:type="spellEnd"/>
      <w:r>
        <w:t xml:space="preserve"> sentiment </w:t>
      </w:r>
      <w:proofErr w:type="spellStart"/>
      <w:r>
        <w:t>improved</w:t>
      </w:r>
      <w:proofErr w:type="spellEnd"/>
      <w:r>
        <w:t xml:space="preserve"> in </w:t>
      </w:r>
      <w:proofErr w:type="spellStart"/>
      <w:r>
        <w:t>June</w:t>
      </w:r>
      <w:proofErr w:type="spellEnd"/>
      <w:r>
        <w:t xml:space="preserve">, </w:t>
      </w:r>
      <w:proofErr w:type="spellStart"/>
      <w:r>
        <w:t>mainly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to </w:t>
      </w:r>
      <w:proofErr w:type="spellStart"/>
      <w:r>
        <w:t>improvements</w:t>
      </w:r>
      <w:proofErr w:type="spellEnd"/>
      <w:r>
        <w:t xml:space="preserve"> in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consumers</w:t>
      </w:r>
      <w:proofErr w:type="spellEnd"/>
      <w:r>
        <w:t xml:space="preserve">. </w:t>
      </w:r>
      <w:proofErr w:type="spellStart"/>
      <w:r>
        <w:t>Economic</w:t>
      </w:r>
      <w:proofErr w:type="spellEnd"/>
      <w:r>
        <w:t xml:space="preserve"> sentiment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improved</w:t>
      </w:r>
      <w:proofErr w:type="spellEnd"/>
      <w:r>
        <w:t xml:space="preserve"> </w:t>
      </w:r>
      <w:proofErr w:type="spellStart"/>
      <w:r>
        <w:t>year</w:t>
      </w:r>
      <w:proofErr w:type="spellEnd"/>
      <w:r>
        <w:t>-on-</w:t>
      </w:r>
      <w:proofErr w:type="spellStart"/>
      <w:r>
        <w:t>year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exception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it </w:t>
      </w:r>
      <w:proofErr w:type="spellStart"/>
      <w:r>
        <w:t>declined</w:t>
      </w:r>
      <w:proofErr w:type="spellEnd"/>
      <w:r>
        <w:t>.</w:t>
      </w:r>
    </w:p>
    <w:bookmarkEnd w:id="0"/>
    <w:p w14:paraId="0EF7CF15" w14:textId="77777777" w:rsidR="00FA45E3" w:rsidRDefault="00FA45E3" w:rsidP="001F51CD">
      <w:pPr>
        <w:tabs>
          <w:tab w:val="left" w:pos="580"/>
        </w:tabs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536"/>
      </w:tblGrid>
      <w:tr w:rsidR="0040630F" w14:paraId="5D6101A5" w14:textId="77777777" w:rsidTr="0040630F">
        <w:tc>
          <w:tcPr>
            <w:tcW w:w="5103" w:type="dxa"/>
            <w:tcBorders>
              <w:bottom w:val="single" w:sz="4" w:space="0" w:color="auto"/>
            </w:tcBorders>
          </w:tcPr>
          <w:p w14:paraId="53D02461" w14:textId="31087279" w:rsidR="0040630F" w:rsidRPr="007B7A48" w:rsidRDefault="00476FBA" w:rsidP="007B7A48">
            <w:pPr>
              <w:pStyle w:val="Caption"/>
              <w:keepNext/>
            </w:pPr>
            <w:proofErr w:type="spellStart"/>
            <w:r w:rsidRPr="00EB0CAF">
              <w:t>Consumer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prices</w:t>
            </w:r>
            <w:proofErr w:type="spellEnd"/>
            <w:r w:rsidRPr="00EB0CAF">
              <w:t xml:space="preserve">, </w:t>
            </w:r>
            <w:proofErr w:type="spellStart"/>
            <w:r w:rsidRPr="00EB0CAF">
              <w:t>June</w:t>
            </w:r>
            <w:proofErr w:type="spellEnd"/>
            <w:r w:rsidRPr="00EB0CAF">
              <w:t xml:space="preserve"> 2024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3108F93" w14:textId="77777777" w:rsidR="0040630F" w:rsidRDefault="0040630F" w:rsidP="0040630F">
            <w:pPr>
              <w:pStyle w:val="GTBesedilo"/>
            </w:pPr>
          </w:p>
        </w:tc>
      </w:tr>
      <w:tr w:rsidR="0040630F" w14:paraId="62E81594" w14:textId="77777777" w:rsidTr="0040630F">
        <w:tc>
          <w:tcPr>
            <w:tcW w:w="5103" w:type="dxa"/>
            <w:tcBorders>
              <w:top w:val="single" w:sz="4" w:space="0" w:color="auto"/>
            </w:tcBorders>
          </w:tcPr>
          <w:p w14:paraId="6D8911E5" w14:textId="1A7C1553" w:rsidR="0040630F" w:rsidRDefault="0077695F" w:rsidP="0040630F">
            <w:pPr>
              <w:pStyle w:val="GTBesedilo"/>
            </w:pPr>
            <w:r>
              <w:rPr>
                <w:noProof/>
              </w:rPr>
              <w:drawing>
                <wp:inline distT="0" distB="0" distL="0" distR="0" wp14:anchorId="4BB9FDD4" wp14:editId="3D1BF4B3">
                  <wp:extent cx="3182400" cy="26928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2400" cy="2692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3E80812B" w14:textId="56FAF399" w:rsidR="0040630F" w:rsidRDefault="00506A6D" w:rsidP="0040630F">
            <w:pPr>
              <w:pStyle w:val="GTBesedilo"/>
            </w:pPr>
            <w:proofErr w:type="spellStart"/>
            <w:r w:rsidRPr="5D13854D">
              <w:rPr>
                <w:b/>
                <w:bCs/>
              </w:rPr>
              <w:t>Year</w:t>
            </w:r>
            <w:proofErr w:type="spellEnd"/>
            <w:r w:rsidRPr="5D13854D">
              <w:rPr>
                <w:b/>
                <w:bCs/>
              </w:rPr>
              <w:t>-on-</w:t>
            </w:r>
            <w:proofErr w:type="spellStart"/>
            <w:r w:rsidRPr="5D13854D">
              <w:rPr>
                <w:b/>
                <w:bCs/>
              </w:rPr>
              <w:t>year</w:t>
            </w:r>
            <w:proofErr w:type="spellEnd"/>
            <w:r w:rsidRPr="5D13854D">
              <w:rPr>
                <w:b/>
                <w:bCs/>
              </w:rPr>
              <w:t xml:space="preserve"> </w:t>
            </w:r>
            <w:proofErr w:type="spellStart"/>
            <w:r w:rsidRPr="5D13854D">
              <w:rPr>
                <w:b/>
                <w:bCs/>
              </w:rPr>
              <w:t>price</w:t>
            </w:r>
            <w:proofErr w:type="spellEnd"/>
            <w:r w:rsidRPr="5D13854D">
              <w:rPr>
                <w:b/>
                <w:bCs/>
              </w:rPr>
              <w:t xml:space="preserve"> </w:t>
            </w:r>
            <w:proofErr w:type="spellStart"/>
            <w:r w:rsidRPr="5D13854D">
              <w:rPr>
                <w:b/>
                <w:bCs/>
              </w:rPr>
              <w:t>growth</w:t>
            </w:r>
            <w:proofErr w:type="spellEnd"/>
            <w:r w:rsidRPr="5D13854D">
              <w:rPr>
                <w:b/>
                <w:bCs/>
              </w:rPr>
              <w:t xml:space="preserve"> </w:t>
            </w:r>
            <w:proofErr w:type="spellStart"/>
            <w:r w:rsidRPr="5D13854D">
              <w:rPr>
                <w:b/>
                <w:bCs/>
              </w:rPr>
              <w:t>weakened</w:t>
            </w:r>
            <w:proofErr w:type="spellEnd"/>
            <w:r w:rsidRPr="5D13854D">
              <w:rPr>
                <w:b/>
                <w:bCs/>
              </w:rPr>
              <w:t xml:space="preserve"> </w:t>
            </w:r>
            <w:proofErr w:type="spellStart"/>
            <w:r w:rsidRPr="5D13854D">
              <w:rPr>
                <w:b/>
                <w:bCs/>
              </w:rPr>
              <w:t>rapidly</w:t>
            </w:r>
            <w:proofErr w:type="spellEnd"/>
            <w:r w:rsidRPr="5D13854D">
              <w:rPr>
                <w:b/>
                <w:bCs/>
              </w:rPr>
              <w:t xml:space="preserve"> in </w:t>
            </w:r>
            <w:proofErr w:type="spellStart"/>
            <w:r w:rsidRPr="5D13854D">
              <w:rPr>
                <w:b/>
                <w:bCs/>
              </w:rPr>
              <w:t>June</w:t>
            </w:r>
            <w:proofErr w:type="spellEnd"/>
            <w:r w:rsidRPr="5D13854D">
              <w:rPr>
                <w:b/>
                <w:bCs/>
              </w:rPr>
              <w:t xml:space="preserve">, </w:t>
            </w:r>
            <w:proofErr w:type="spellStart"/>
            <w:r w:rsidRPr="5D13854D">
              <w:rPr>
                <w:b/>
                <w:bCs/>
              </w:rPr>
              <w:t>reaching</w:t>
            </w:r>
            <w:proofErr w:type="spellEnd"/>
            <w:r w:rsidRPr="5D13854D">
              <w:rPr>
                <w:b/>
                <w:bCs/>
              </w:rPr>
              <w:t xml:space="preserve"> </w:t>
            </w:r>
            <w:proofErr w:type="spellStart"/>
            <w:r w:rsidRPr="5D13854D">
              <w:rPr>
                <w:b/>
                <w:bCs/>
              </w:rPr>
              <w:t>its</w:t>
            </w:r>
            <w:proofErr w:type="spellEnd"/>
            <w:r w:rsidRPr="5D13854D">
              <w:rPr>
                <w:b/>
                <w:bCs/>
              </w:rPr>
              <w:t xml:space="preserve"> </w:t>
            </w:r>
            <w:proofErr w:type="spellStart"/>
            <w:r w:rsidRPr="5D13854D">
              <w:rPr>
                <w:b/>
                <w:bCs/>
              </w:rPr>
              <w:t>lowest</w:t>
            </w:r>
            <w:proofErr w:type="spellEnd"/>
            <w:r w:rsidRPr="5D13854D">
              <w:rPr>
                <w:b/>
                <w:bCs/>
              </w:rPr>
              <w:t xml:space="preserve"> </w:t>
            </w:r>
            <w:proofErr w:type="spellStart"/>
            <w:r w:rsidRPr="5D13854D">
              <w:rPr>
                <w:b/>
                <w:bCs/>
              </w:rPr>
              <w:t>level</w:t>
            </w:r>
            <w:proofErr w:type="spellEnd"/>
            <w:r w:rsidRPr="5D13854D">
              <w:rPr>
                <w:b/>
                <w:bCs/>
              </w:rPr>
              <w:t xml:space="preserve"> in </w:t>
            </w:r>
            <w:proofErr w:type="spellStart"/>
            <w:r w:rsidRPr="5D13854D">
              <w:rPr>
                <w:b/>
                <w:bCs/>
              </w:rPr>
              <w:t>three</w:t>
            </w:r>
            <w:proofErr w:type="spellEnd"/>
            <w:r w:rsidRPr="5D13854D">
              <w:rPr>
                <w:b/>
                <w:bCs/>
              </w:rPr>
              <w:t xml:space="preserve"> </w:t>
            </w:r>
            <w:proofErr w:type="spellStart"/>
            <w:r w:rsidRPr="5D13854D">
              <w:rPr>
                <w:b/>
                <w:bCs/>
              </w:rPr>
              <w:t>years</w:t>
            </w:r>
            <w:proofErr w:type="spellEnd"/>
            <w:r w:rsidRPr="5D13854D">
              <w:rPr>
                <w:b/>
                <w:bCs/>
              </w:rPr>
              <w:t xml:space="preserve"> (1.5%).</w:t>
            </w:r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was</w:t>
            </w:r>
            <w:proofErr w:type="spellEnd"/>
            <w:r>
              <w:t xml:space="preserve"> </w:t>
            </w:r>
            <w:proofErr w:type="spellStart"/>
            <w:r>
              <w:t>partly</w:t>
            </w:r>
            <w:proofErr w:type="spellEnd"/>
            <w:r>
              <w:t xml:space="preserve"> </w:t>
            </w:r>
            <w:proofErr w:type="spellStart"/>
            <w:r>
              <w:t>due</w:t>
            </w:r>
            <w:proofErr w:type="spellEnd"/>
            <w:r>
              <w:t xml:space="preserve"> to a </w:t>
            </w:r>
            <w:proofErr w:type="spellStart"/>
            <w:r>
              <w:t>further</w:t>
            </w:r>
            <w:proofErr w:type="spellEnd"/>
            <w:r>
              <w:t xml:space="preserve"> </w:t>
            </w:r>
            <w:proofErr w:type="spellStart"/>
            <w:r>
              <w:t>weakening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upward</w:t>
            </w:r>
            <w:proofErr w:type="spellEnd"/>
            <w:r>
              <w:t xml:space="preserve"> </w:t>
            </w:r>
            <w:proofErr w:type="spellStart"/>
            <w:r>
              <w:t>price</w:t>
            </w:r>
            <w:proofErr w:type="spellEnd"/>
            <w:r>
              <w:t xml:space="preserve"> </w:t>
            </w:r>
            <w:proofErr w:type="spellStart"/>
            <w:r>
              <w:t>pressure</w:t>
            </w:r>
            <w:proofErr w:type="spellEnd"/>
            <w:r>
              <w:t xml:space="preserve">, </w:t>
            </w:r>
            <w:proofErr w:type="spellStart"/>
            <w:r>
              <w:t>but</w:t>
            </w:r>
            <w:proofErr w:type="spellEnd"/>
            <w:r>
              <w:t xml:space="preserve"> to a </w:t>
            </w:r>
            <w:proofErr w:type="spellStart"/>
            <w:r>
              <w:t>greater</w:t>
            </w:r>
            <w:proofErr w:type="spellEnd"/>
            <w:r>
              <w:t xml:space="preserve"> </w:t>
            </w:r>
            <w:proofErr w:type="spellStart"/>
            <w:r>
              <w:t>extent</w:t>
            </w:r>
            <w:proofErr w:type="spellEnd"/>
            <w:r>
              <w:t xml:space="preserve"> </w:t>
            </w:r>
            <w:proofErr w:type="spellStart"/>
            <w:r>
              <w:t>also</w:t>
            </w:r>
            <w:proofErr w:type="spellEnd"/>
            <w:r>
              <w:t xml:space="preserve"> 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high</w:t>
            </w:r>
            <w:proofErr w:type="spellEnd"/>
            <w:r>
              <w:t xml:space="preserve"> base </w:t>
            </w:r>
            <w:proofErr w:type="spellStart"/>
            <w:r>
              <w:t>of</w:t>
            </w:r>
            <w:proofErr w:type="spellEnd"/>
            <w:r>
              <w:t xml:space="preserve"> last </w:t>
            </w:r>
            <w:proofErr w:type="spellStart"/>
            <w:r>
              <w:t>June</w:t>
            </w:r>
            <w:proofErr w:type="spellEnd"/>
            <w:r>
              <w:t xml:space="preserve">, </w:t>
            </w:r>
            <w:proofErr w:type="spellStart"/>
            <w:r>
              <w:t>when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reduced</w:t>
            </w:r>
            <w:proofErr w:type="spellEnd"/>
            <w:r>
              <w:t xml:space="preserve"> VAT </w:t>
            </w:r>
            <w:proofErr w:type="spellStart"/>
            <w:r>
              <w:t>rate</w:t>
            </w:r>
            <w:proofErr w:type="spellEnd"/>
            <w:r>
              <w:t xml:space="preserve"> on some </w:t>
            </w:r>
            <w:proofErr w:type="spellStart"/>
            <w:r>
              <w:t>energy</w:t>
            </w:r>
            <w:proofErr w:type="spellEnd"/>
            <w:r>
              <w:t xml:space="preserve"> </w:t>
            </w:r>
            <w:proofErr w:type="spellStart"/>
            <w:r>
              <w:t>products</w:t>
            </w:r>
            <w:proofErr w:type="spellEnd"/>
            <w:r>
              <w:t xml:space="preserve"> </w:t>
            </w:r>
            <w:proofErr w:type="spellStart"/>
            <w:r>
              <w:t>was</w:t>
            </w:r>
            <w:proofErr w:type="spellEnd"/>
            <w:r>
              <w:t xml:space="preserve"> </w:t>
            </w:r>
            <w:proofErr w:type="spellStart"/>
            <w:r>
              <w:t>abolished</w:t>
            </w:r>
            <w:proofErr w:type="spellEnd"/>
            <w:r>
              <w:t xml:space="preserve">.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also</w:t>
            </w:r>
            <w:proofErr w:type="spellEnd"/>
            <w:r>
              <w:t xml:space="preserve"> </w:t>
            </w:r>
            <w:proofErr w:type="spellStart"/>
            <w:r>
              <w:t>had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impact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year</w:t>
            </w:r>
            <w:proofErr w:type="spellEnd"/>
            <w:r>
              <w:t>-on-</w:t>
            </w:r>
            <w:proofErr w:type="spellStart"/>
            <w:r>
              <w:t>year</w:t>
            </w:r>
            <w:proofErr w:type="spellEnd"/>
            <w:r>
              <w:t xml:space="preserve"> </w:t>
            </w:r>
            <w:proofErr w:type="spellStart"/>
            <w:r>
              <w:t>fall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prices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housing</w:t>
            </w:r>
            <w:proofErr w:type="spellEnd"/>
            <w:r>
              <w:t xml:space="preserve">, </w:t>
            </w:r>
            <w:proofErr w:type="spellStart"/>
            <w:r>
              <w:t>water</w:t>
            </w:r>
            <w:proofErr w:type="spellEnd"/>
            <w:r>
              <w:t xml:space="preserve">, </w:t>
            </w:r>
            <w:proofErr w:type="spellStart"/>
            <w:r>
              <w:t>electricity</w:t>
            </w:r>
            <w:proofErr w:type="spellEnd"/>
            <w:r>
              <w:t xml:space="preserve">, </w:t>
            </w:r>
            <w:proofErr w:type="spellStart"/>
            <w:r>
              <w:t>and</w:t>
            </w:r>
            <w:proofErr w:type="spellEnd"/>
            <w:r>
              <w:t xml:space="preserve"> gas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fuels</w:t>
            </w:r>
            <w:proofErr w:type="spellEnd"/>
            <w:r>
              <w:t xml:space="preserve"> (-2.3%), </w:t>
            </w:r>
            <w:proofErr w:type="spellStart"/>
            <w:r>
              <w:t>whereas</w:t>
            </w:r>
            <w:proofErr w:type="spellEnd"/>
            <w:r>
              <w:t xml:space="preserve"> </w:t>
            </w:r>
            <w:proofErr w:type="spellStart"/>
            <w:r>
              <w:t>prices</w:t>
            </w:r>
            <w:proofErr w:type="spellEnd"/>
            <w:r>
              <w:t xml:space="preserve"> in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 xml:space="preserve"> </w:t>
            </w:r>
            <w:proofErr w:type="spellStart"/>
            <w:r>
              <w:t>had</w:t>
            </w:r>
            <w:proofErr w:type="spellEnd"/>
            <w:r>
              <w:t xml:space="preserve"> </w:t>
            </w:r>
            <w:proofErr w:type="spellStart"/>
            <w:r>
              <w:t>still</w:t>
            </w:r>
            <w:proofErr w:type="spellEnd"/>
            <w:r>
              <w:t xml:space="preserve"> </w:t>
            </w:r>
            <w:proofErr w:type="spellStart"/>
            <w:r>
              <w:t>risen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around</w:t>
            </w:r>
            <w:proofErr w:type="spellEnd"/>
            <w:r>
              <w:t xml:space="preserve"> 3% </w:t>
            </w:r>
            <w:proofErr w:type="spellStart"/>
            <w:r>
              <w:t>year</w:t>
            </w:r>
            <w:proofErr w:type="spellEnd"/>
            <w:r>
              <w:t>-on-</w:t>
            </w:r>
            <w:proofErr w:type="spellStart"/>
            <w:r>
              <w:t>year</w:t>
            </w:r>
            <w:proofErr w:type="spellEnd"/>
            <w:r>
              <w:t xml:space="preserve"> in </w:t>
            </w:r>
            <w:proofErr w:type="spellStart"/>
            <w:r>
              <w:t>May</w:t>
            </w:r>
            <w:proofErr w:type="spellEnd"/>
            <w:r>
              <w:t xml:space="preserve">.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price</w:t>
            </w:r>
            <w:proofErr w:type="spellEnd"/>
            <w:r>
              <w:t xml:space="preserve"> </w:t>
            </w:r>
            <w:proofErr w:type="spellStart"/>
            <w:r>
              <w:t>increase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in </w:t>
            </w:r>
            <w:proofErr w:type="spellStart"/>
            <w:r>
              <w:t>particular</w:t>
            </w:r>
            <w:proofErr w:type="spellEnd"/>
            <w:r>
              <w:t xml:space="preserve"> is </w:t>
            </w:r>
            <w:proofErr w:type="spellStart"/>
            <w:r>
              <w:t>weakening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was</w:t>
            </w:r>
            <w:proofErr w:type="spellEnd"/>
            <w:r>
              <w:t xml:space="preserve"> </w:t>
            </w:r>
            <w:proofErr w:type="spellStart"/>
            <w:r>
              <w:t>only</w:t>
            </w:r>
            <w:proofErr w:type="spellEnd"/>
            <w:r>
              <w:t xml:space="preserve"> 0.2% </w:t>
            </w:r>
            <w:proofErr w:type="spellStart"/>
            <w:r>
              <w:t>year</w:t>
            </w:r>
            <w:proofErr w:type="spellEnd"/>
            <w:r>
              <w:t>-on-</w:t>
            </w:r>
            <w:proofErr w:type="spellStart"/>
            <w:r>
              <w:t>year</w:t>
            </w:r>
            <w:proofErr w:type="spellEnd"/>
            <w:r>
              <w:t xml:space="preserve"> in </w:t>
            </w:r>
            <w:proofErr w:type="spellStart"/>
            <w:r>
              <w:t>June</w:t>
            </w:r>
            <w:proofErr w:type="spellEnd"/>
            <w:r>
              <w:t>. Non-</w:t>
            </w:r>
            <w:proofErr w:type="spellStart"/>
            <w:r>
              <w:t>durable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</w:t>
            </w:r>
            <w:proofErr w:type="spellStart"/>
            <w:r>
              <w:t>prices</w:t>
            </w:r>
            <w:proofErr w:type="spellEnd"/>
            <w:r>
              <w:t xml:space="preserve"> </w:t>
            </w:r>
            <w:proofErr w:type="spellStart"/>
            <w:r>
              <w:t>went</w:t>
            </w:r>
            <w:proofErr w:type="spellEnd"/>
            <w:r>
              <w:t xml:space="preserve"> up </w:t>
            </w:r>
            <w:proofErr w:type="spellStart"/>
            <w:r>
              <w:t>by</w:t>
            </w:r>
            <w:proofErr w:type="spellEnd"/>
            <w:r>
              <w:t xml:space="preserve"> 0.3%,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semi-durable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</w:t>
            </w:r>
            <w:proofErr w:type="spellStart"/>
            <w:r>
              <w:t>prices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1.5%, </w:t>
            </w:r>
            <w:proofErr w:type="spellStart"/>
            <w:r>
              <w:t>while</w:t>
            </w:r>
            <w:proofErr w:type="spellEnd"/>
            <w:r>
              <w:t xml:space="preserve"> </w:t>
            </w:r>
            <w:proofErr w:type="spellStart"/>
            <w:r>
              <w:t>durable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</w:t>
            </w:r>
            <w:proofErr w:type="spellStart"/>
            <w:r>
              <w:t>prices</w:t>
            </w:r>
            <w:proofErr w:type="spellEnd"/>
            <w:r>
              <w:t xml:space="preserve"> </w:t>
            </w:r>
            <w:proofErr w:type="spellStart"/>
            <w:r>
              <w:t>dropped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1.4%.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slowdown</w:t>
            </w:r>
            <w:proofErr w:type="spellEnd"/>
            <w:r>
              <w:t xml:space="preserve"> in </w:t>
            </w:r>
            <w:proofErr w:type="spellStart"/>
            <w:r>
              <w:t>service</w:t>
            </w:r>
            <w:proofErr w:type="spellEnd"/>
            <w:r>
              <w:t xml:space="preserve"> </w:t>
            </w:r>
            <w:proofErr w:type="spellStart"/>
            <w:r>
              <w:t>prices</w:t>
            </w:r>
            <w:proofErr w:type="spellEnd"/>
            <w:r>
              <w:t xml:space="preserve"> </w:t>
            </w:r>
            <w:proofErr w:type="spellStart"/>
            <w:r>
              <w:t>has</w:t>
            </w:r>
            <w:proofErr w:type="spellEnd"/>
            <w:r>
              <w:t xml:space="preserve"> </w:t>
            </w:r>
            <w:proofErr w:type="spellStart"/>
            <w:r>
              <w:t>been</w:t>
            </w:r>
            <w:proofErr w:type="spellEnd"/>
            <w:r>
              <w:t xml:space="preserve"> </w:t>
            </w:r>
            <w:proofErr w:type="spellStart"/>
            <w:r>
              <w:t>interrupted</w:t>
            </w:r>
            <w:proofErr w:type="spellEnd"/>
            <w:r>
              <w:t xml:space="preserve"> in </w:t>
            </w:r>
            <w:proofErr w:type="spellStart"/>
            <w:r>
              <w:t>recent</w:t>
            </w:r>
            <w:proofErr w:type="spellEnd"/>
            <w:r>
              <w:t xml:space="preserve"> </w:t>
            </w:r>
            <w:proofErr w:type="spellStart"/>
            <w:r>
              <w:t>months</w:t>
            </w:r>
            <w:proofErr w:type="spellEnd"/>
            <w:r>
              <w:t xml:space="preserve">,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year</w:t>
            </w:r>
            <w:proofErr w:type="spellEnd"/>
            <w:r>
              <w:t>-on-</w:t>
            </w:r>
            <w:proofErr w:type="spellStart"/>
            <w:r>
              <w:t>year</w:t>
            </w:r>
            <w:proofErr w:type="spellEnd"/>
            <w:r>
              <w:t xml:space="preserve"> </w:t>
            </w:r>
            <w:proofErr w:type="spellStart"/>
            <w:r>
              <w:t>growth</w:t>
            </w:r>
            <w:proofErr w:type="spellEnd"/>
            <w:r>
              <w:t xml:space="preserve"> </w:t>
            </w:r>
            <w:proofErr w:type="spellStart"/>
            <w:r>
              <w:t>was</w:t>
            </w:r>
            <w:proofErr w:type="spellEnd"/>
            <w:r>
              <w:t xml:space="preserve"> </w:t>
            </w:r>
            <w:proofErr w:type="spellStart"/>
            <w:r>
              <w:t>still</w:t>
            </w:r>
            <w:proofErr w:type="spellEnd"/>
            <w:r>
              <w:t xml:space="preserve"> </w:t>
            </w:r>
            <w:proofErr w:type="spellStart"/>
            <w:r>
              <w:t>above</w:t>
            </w:r>
            <w:proofErr w:type="spellEnd"/>
            <w:r>
              <w:t xml:space="preserve"> 4%.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strongest</w:t>
            </w:r>
            <w:proofErr w:type="spellEnd"/>
            <w:r>
              <w:t xml:space="preserve"> </w:t>
            </w:r>
            <w:proofErr w:type="spellStart"/>
            <w:r>
              <w:t>price</w:t>
            </w:r>
            <w:proofErr w:type="spellEnd"/>
            <w:r>
              <w:t xml:space="preserve"> </w:t>
            </w:r>
            <w:proofErr w:type="spellStart"/>
            <w:r>
              <w:t>increase</w:t>
            </w:r>
            <w:proofErr w:type="spellEnd"/>
            <w:r>
              <w:t xml:space="preserve"> (6.7%) </w:t>
            </w:r>
            <w:proofErr w:type="spellStart"/>
            <w:r>
              <w:t>was</w:t>
            </w:r>
            <w:proofErr w:type="spellEnd"/>
            <w:r>
              <w:t xml:space="preserve"> </w:t>
            </w:r>
            <w:proofErr w:type="spellStart"/>
            <w:r>
              <w:t>observed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restaurants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hotels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 xml:space="preserve">, </w:t>
            </w:r>
            <w:proofErr w:type="spellStart"/>
            <w:r>
              <w:t>which</w:t>
            </w:r>
            <w:proofErr w:type="spellEnd"/>
            <w:r>
              <w:t xml:space="preserve"> in </w:t>
            </w:r>
            <w:proofErr w:type="spellStart"/>
            <w:r>
              <w:t>our</w:t>
            </w:r>
            <w:proofErr w:type="spellEnd"/>
            <w:r>
              <w:t xml:space="preserve"> </w:t>
            </w:r>
            <w:proofErr w:type="spellStart"/>
            <w:r>
              <w:t>assessment</w:t>
            </w:r>
            <w:proofErr w:type="spellEnd"/>
            <w:r>
              <w:t xml:space="preserve"> is </w:t>
            </w:r>
            <w:proofErr w:type="spellStart"/>
            <w:r>
              <w:t>still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consequence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labour</w:t>
            </w:r>
            <w:proofErr w:type="spellEnd"/>
            <w:r>
              <w:t xml:space="preserve"> </w:t>
            </w:r>
            <w:proofErr w:type="spellStart"/>
            <w:r>
              <w:t>shortage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associated</w:t>
            </w:r>
            <w:proofErr w:type="spellEnd"/>
            <w:r>
              <w:t xml:space="preserve"> </w:t>
            </w:r>
            <w:proofErr w:type="spellStart"/>
            <w:r>
              <w:t>upward</w:t>
            </w:r>
            <w:proofErr w:type="spellEnd"/>
            <w:r>
              <w:t xml:space="preserve"> </w:t>
            </w:r>
            <w:proofErr w:type="spellStart"/>
            <w:r>
              <w:t>pressure</w:t>
            </w:r>
            <w:proofErr w:type="spellEnd"/>
            <w:r>
              <w:t xml:space="preserve"> on </w:t>
            </w:r>
            <w:proofErr w:type="spellStart"/>
            <w:r>
              <w:t>wages</w:t>
            </w:r>
            <w:proofErr w:type="spellEnd"/>
            <w:r>
              <w:t xml:space="preserve">, </w:t>
            </w:r>
            <w:proofErr w:type="spellStart"/>
            <w:r>
              <w:t>but</w:t>
            </w:r>
            <w:proofErr w:type="spellEnd"/>
            <w:r>
              <w:t xml:space="preserve"> </w:t>
            </w:r>
            <w:proofErr w:type="spellStart"/>
            <w:r>
              <w:t>also</w:t>
            </w:r>
            <w:proofErr w:type="spellEnd"/>
            <w:r>
              <w:t xml:space="preserve"> to a </w:t>
            </w:r>
            <w:proofErr w:type="spellStart"/>
            <w:r>
              <w:t>certain</w:t>
            </w:r>
            <w:proofErr w:type="spellEnd"/>
            <w:r>
              <w:t xml:space="preserve"> </w:t>
            </w:r>
            <w:proofErr w:type="spellStart"/>
            <w:r>
              <w:t>extent</w:t>
            </w:r>
            <w:proofErr w:type="spellEnd"/>
            <w:r>
              <w:t xml:space="preserve"> 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relatively</w:t>
            </w:r>
            <w:proofErr w:type="spellEnd"/>
            <w:r>
              <w:t xml:space="preserve"> </w:t>
            </w:r>
            <w:proofErr w:type="spellStart"/>
            <w:r>
              <w:t>high</w:t>
            </w:r>
            <w:proofErr w:type="spellEnd"/>
            <w:r>
              <w:t xml:space="preserve"> </w:t>
            </w:r>
            <w:proofErr w:type="spellStart"/>
            <w:r>
              <w:t>demand</w:t>
            </w:r>
            <w:proofErr w:type="spellEnd"/>
            <w:r>
              <w:t>.</w:t>
            </w:r>
          </w:p>
        </w:tc>
      </w:tr>
    </w:tbl>
    <w:p w14:paraId="7C90A920" w14:textId="77777777" w:rsidR="00363E63" w:rsidRDefault="00363E63" w:rsidP="00363E63">
      <w:pPr>
        <w:tabs>
          <w:tab w:val="left" w:pos="580"/>
        </w:tabs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536"/>
      </w:tblGrid>
      <w:tr w:rsidR="0040630F" w14:paraId="1B93AFEC" w14:textId="77777777" w:rsidTr="00105DA7">
        <w:tc>
          <w:tcPr>
            <w:tcW w:w="5103" w:type="dxa"/>
            <w:tcBorders>
              <w:bottom w:val="single" w:sz="4" w:space="0" w:color="auto"/>
            </w:tcBorders>
          </w:tcPr>
          <w:p w14:paraId="54B53313" w14:textId="421A5D3E" w:rsidR="0040630F" w:rsidRDefault="00476FBA" w:rsidP="00105DA7">
            <w:pPr>
              <w:pStyle w:val="GTNaslovgrafa"/>
            </w:pPr>
            <w:proofErr w:type="spellStart"/>
            <w:r w:rsidRPr="00EB0CAF">
              <w:lastRenderedPageBreak/>
              <w:t>Number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of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persons</w:t>
            </w:r>
            <w:proofErr w:type="spellEnd"/>
            <w:r w:rsidRPr="00EB0CAF">
              <w:t xml:space="preserve"> in </w:t>
            </w:r>
            <w:proofErr w:type="spellStart"/>
            <w:r w:rsidRPr="00EB0CAF">
              <w:t>employment</w:t>
            </w:r>
            <w:proofErr w:type="spellEnd"/>
            <w:r w:rsidRPr="00EB0CAF">
              <w:t>, April 2024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67542E2" w14:textId="77777777" w:rsidR="0040630F" w:rsidRDefault="0040630F" w:rsidP="00105DA7">
            <w:pPr>
              <w:pStyle w:val="GTBesedilo"/>
            </w:pPr>
          </w:p>
        </w:tc>
      </w:tr>
      <w:tr w:rsidR="0040630F" w14:paraId="5FAA87D5" w14:textId="77777777" w:rsidTr="00105DA7">
        <w:tc>
          <w:tcPr>
            <w:tcW w:w="5103" w:type="dxa"/>
            <w:tcBorders>
              <w:top w:val="single" w:sz="4" w:space="0" w:color="auto"/>
            </w:tcBorders>
          </w:tcPr>
          <w:p w14:paraId="0BD09FB8" w14:textId="16C74D7E" w:rsidR="0040630F" w:rsidRDefault="00476FBA" w:rsidP="0040630F">
            <w:pPr>
              <w:pStyle w:val="GTBesedilo"/>
            </w:pPr>
            <w:r>
              <w:rPr>
                <w:noProof/>
              </w:rPr>
              <w:drawing>
                <wp:inline distT="0" distB="0" distL="0" distR="0" wp14:anchorId="7645A165" wp14:editId="17ABABF5">
                  <wp:extent cx="3157200" cy="2404800"/>
                  <wp:effectExtent l="0" t="0" r="571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7200" cy="24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5D8C050C" w14:textId="5B86B80D" w:rsidR="0040630F" w:rsidRDefault="00506A6D" w:rsidP="0040630F">
            <w:pPr>
              <w:pStyle w:val="GTBesedilo"/>
            </w:pPr>
            <w:proofErr w:type="spellStart"/>
            <w:r w:rsidRPr="00EB0CAF">
              <w:rPr>
                <w:b/>
              </w:rPr>
              <w:t>The</w:t>
            </w:r>
            <w:proofErr w:type="spellEnd"/>
            <w:r w:rsidRPr="00EB0CAF">
              <w:rPr>
                <w:b/>
              </w:rPr>
              <w:t xml:space="preserve"> </w:t>
            </w:r>
            <w:proofErr w:type="spellStart"/>
            <w:r w:rsidRPr="00EB0CAF">
              <w:rPr>
                <w:b/>
              </w:rPr>
              <w:t>number</w:t>
            </w:r>
            <w:proofErr w:type="spellEnd"/>
            <w:r w:rsidRPr="00EB0CAF">
              <w:rPr>
                <w:b/>
              </w:rPr>
              <w:t xml:space="preserve"> </w:t>
            </w:r>
            <w:proofErr w:type="spellStart"/>
            <w:r w:rsidRPr="00EB0CAF">
              <w:rPr>
                <w:b/>
              </w:rPr>
              <w:t>of</w:t>
            </w:r>
            <w:proofErr w:type="spellEnd"/>
            <w:r w:rsidRPr="00EB0CAF">
              <w:rPr>
                <w:b/>
              </w:rPr>
              <w:t xml:space="preserve"> </w:t>
            </w:r>
            <w:proofErr w:type="spellStart"/>
            <w:r w:rsidRPr="00EB0CAF">
              <w:rPr>
                <w:b/>
              </w:rPr>
              <w:t>persons</w:t>
            </w:r>
            <w:proofErr w:type="spellEnd"/>
            <w:r w:rsidRPr="00EB0CAF">
              <w:rPr>
                <w:b/>
              </w:rPr>
              <w:t xml:space="preserve"> in </w:t>
            </w:r>
            <w:proofErr w:type="spellStart"/>
            <w:r w:rsidRPr="00EB0CAF">
              <w:rPr>
                <w:b/>
              </w:rPr>
              <w:t>employment</w:t>
            </w:r>
            <w:proofErr w:type="spellEnd"/>
            <w:r w:rsidRPr="00EB0CAF">
              <w:rPr>
                <w:b/>
              </w:rPr>
              <w:t xml:space="preserve"> </w:t>
            </w:r>
            <w:proofErr w:type="spellStart"/>
            <w:r w:rsidRPr="00EB0CAF">
              <w:rPr>
                <w:b/>
              </w:rPr>
              <w:t>continued</w:t>
            </w:r>
            <w:proofErr w:type="spellEnd"/>
            <w:r w:rsidRPr="00EB0CAF">
              <w:rPr>
                <w:b/>
              </w:rPr>
              <w:t xml:space="preserve"> to rise </w:t>
            </w:r>
            <w:proofErr w:type="spellStart"/>
            <w:r w:rsidRPr="00EB0CAF">
              <w:rPr>
                <w:b/>
              </w:rPr>
              <w:t>year</w:t>
            </w:r>
            <w:proofErr w:type="spellEnd"/>
            <w:r w:rsidRPr="00EB0CAF">
              <w:rPr>
                <w:b/>
              </w:rPr>
              <w:t>-on-</w:t>
            </w:r>
            <w:proofErr w:type="spellStart"/>
            <w:r w:rsidRPr="00EB0CAF">
              <w:rPr>
                <w:b/>
              </w:rPr>
              <w:t>year</w:t>
            </w:r>
            <w:proofErr w:type="spellEnd"/>
            <w:r w:rsidRPr="00EB0CAF">
              <w:rPr>
                <w:b/>
              </w:rPr>
              <w:t xml:space="preserve"> in April.</w:t>
            </w:r>
            <w:r w:rsidRPr="00EB0CAF">
              <w:t xml:space="preserve"> </w:t>
            </w:r>
            <w:proofErr w:type="spellStart"/>
            <w:r w:rsidRPr="00EB0CAF">
              <w:t>Growth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was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similar</w:t>
            </w:r>
            <w:proofErr w:type="spellEnd"/>
            <w:r w:rsidRPr="00EB0CAF">
              <w:t xml:space="preserve"> (1.4%) to </w:t>
            </w:r>
            <w:proofErr w:type="spellStart"/>
            <w:r w:rsidRPr="00EB0CAF">
              <w:t>the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first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three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months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of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this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year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and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higher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than</w:t>
            </w:r>
            <w:proofErr w:type="spellEnd"/>
            <w:r w:rsidRPr="00EB0CAF">
              <w:t xml:space="preserve"> in </w:t>
            </w:r>
            <w:proofErr w:type="spellStart"/>
            <w:r w:rsidRPr="00EB0CAF">
              <w:t>the</w:t>
            </w:r>
            <w:proofErr w:type="spellEnd"/>
            <w:r w:rsidRPr="00EB0CAF">
              <w:t xml:space="preserve"> last </w:t>
            </w:r>
            <w:proofErr w:type="spellStart"/>
            <w:r w:rsidRPr="00EB0CAF">
              <w:t>months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of</w:t>
            </w:r>
            <w:proofErr w:type="spellEnd"/>
            <w:r w:rsidRPr="00EB0CAF">
              <w:t xml:space="preserve"> 2023. </w:t>
            </w:r>
            <w:proofErr w:type="spellStart"/>
            <w:r w:rsidRPr="00EB0CAF">
              <w:t>The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acceleration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of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growth</w:t>
            </w:r>
            <w:proofErr w:type="spellEnd"/>
            <w:r w:rsidRPr="00EB0CAF">
              <w:t xml:space="preserve"> at </w:t>
            </w:r>
            <w:proofErr w:type="spellStart"/>
            <w:r w:rsidRPr="00EB0CAF">
              <w:t>the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beginning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of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the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year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was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mainly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due</w:t>
            </w:r>
            <w:proofErr w:type="spellEnd"/>
            <w:r w:rsidRPr="00EB0CAF">
              <w:t xml:space="preserve"> to a </w:t>
            </w:r>
            <w:proofErr w:type="spellStart"/>
            <w:r w:rsidRPr="00EB0CAF">
              <w:t>change</w:t>
            </w:r>
            <w:proofErr w:type="spellEnd"/>
            <w:r w:rsidRPr="00EB0CAF">
              <w:t xml:space="preserve"> in </w:t>
            </w:r>
            <w:proofErr w:type="spellStart"/>
            <w:r w:rsidRPr="00EB0CAF">
              <w:t>the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definition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of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persons</w:t>
            </w:r>
            <w:proofErr w:type="spellEnd"/>
            <w:r w:rsidRPr="00EB0CAF">
              <w:t xml:space="preserve"> in </w:t>
            </w:r>
            <w:proofErr w:type="spellStart"/>
            <w:r w:rsidRPr="00EB0CAF">
              <w:t>employment</w:t>
            </w:r>
            <w:proofErr w:type="spellEnd"/>
            <w:r w:rsidRPr="00EB0CAF">
              <w:t xml:space="preserve">, </w:t>
            </w:r>
            <w:proofErr w:type="spellStart"/>
            <w:r w:rsidRPr="00EB0CAF">
              <w:t>which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now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also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includes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workers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posted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abroad</w:t>
            </w:r>
            <w:proofErr w:type="spellEnd"/>
            <w:r w:rsidRPr="00EB0CAF">
              <w:t>.</w:t>
            </w:r>
            <w:r w:rsidRPr="00EB0CAF">
              <w:rPr>
                <w:vertAlign w:val="superscript"/>
              </w:rPr>
              <w:footnoteReference w:id="1"/>
            </w:r>
            <w:r w:rsidRPr="00EB0CAF">
              <w:t xml:space="preserve"> In April, </w:t>
            </w:r>
            <w:proofErr w:type="spellStart"/>
            <w:r w:rsidRPr="00EB0CAF">
              <w:t>growth</w:t>
            </w:r>
            <w:proofErr w:type="spellEnd"/>
            <w:r w:rsidRPr="00EB0CAF">
              <w:t xml:space="preserve"> in </w:t>
            </w:r>
            <w:proofErr w:type="spellStart"/>
            <w:r w:rsidRPr="00EB0CAF">
              <w:t>the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number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of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persons</w:t>
            </w:r>
            <w:proofErr w:type="spellEnd"/>
            <w:r w:rsidRPr="00EB0CAF">
              <w:t xml:space="preserve"> in </w:t>
            </w:r>
            <w:proofErr w:type="spellStart"/>
            <w:r w:rsidRPr="00EB0CAF">
              <w:t>employment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was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still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the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highest</w:t>
            </w:r>
            <w:proofErr w:type="spellEnd"/>
            <w:r w:rsidRPr="00EB0CAF">
              <w:t xml:space="preserve"> in </w:t>
            </w:r>
            <w:proofErr w:type="spellStart"/>
            <w:r w:rsidRPr="00EB0CAF">
              <w:t>construction</w:t>
            </w:r>
            <w:proofErr w:type="spellEnd"/>
            <w:r w:rsidRPr="00EB0CAF">
              <w:t xml:space="preserve">, </w:t>
            </w:r>
            <w:proofErr w:type="spellStart"/>
            <w:r w:rsidRPr="00EB0CAF">
              <w:t>which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faces</w:t>
            </w:r>
            <w:proofErr w:type="spellEnd"/>
            <w:r w:rsidRPr="00EB0CAF">
              <w:t xml:space="preserve"> major </w:t>
            </w:r>
            <w:proofErr w:type="spellStart"/>
            <w:r w:rsidRPr="00EB0CAF">
              <w:t>labour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shortages</w:t>
            </w:r>
            <w:proofErr w:type="spellEnd"/>
            <w:r w:rsidRPr="00EB0CAF">
              <w:t xml:space="preserve">. </w:t>
            </w:r>
            <w:proofErr w:type="spellStart"/>
            <w:r w:rsidRPr="00EB0CAF">
              <w:t>The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year</w:t>
            </w:r>
            <w:proofErr w:type="spellEnd"/>
            <w:r w:rsidRPr="00EB0CAF">
              <w:t>-on-</w:t>
            </w:r>
            <w:proofErr w:type="spellStart"/>
            <w:r w:rsidRPr="00EB0CAF">
              <w:t>year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increase</w:t>
            </w:r>
            <w:proofErr w:type="spellEnd"/>
            <w:r w:rsidRPr="00EB0CAF">
              <w:t xml:space="preserve"> in </w:t>
            </w:r>
            <w:proofErr w:type="spellStart"/>
            <w:r w:rsidRPr="00EB0CAF">
              <w:t>the</w:t>
            </w:r>
            <w:proofErr w:type="spellEnd"/>
            <w:r w:rsidRPr="00EB0CAF">
              <w:t xml:space="preserve"> total </w:t>
            </w:r>
            <w:proofErr w:type="spellStart"/>
            <w:r w:rsidRPr="00EB0CAF">
              <w:t>number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of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persons</w:t>
            </w:r>
            <w:proofErr w:type="spellEnd"/>
            <w:r w:rsidRPr="00EB0CAF">
              <w:t xml:space="preserve"> in </w:t>
            </w:r>
            <w:proofErr w:type="spellStart"/>
            <w:r w:rsidRPr="00EB0CAF">
              <w:t>employment</w:t>
            </w:r>
            <w:proofErr w:type="spellEnd"/>
            <w:r w:rsidRPr="00EB0CAF">
              <w:t xml:space="preserve"> in April </w:t>
            </w:r>
            <w:proofErr w:type="spellStart"/>
            <w:r w:rsidRPr="00EB0CAF">
              <w:t>was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due</w:t>
            </w:r>
            <w:proofErr w:type="spellEnd"/>
            <w:r w:rsidRPr="00EB0CAF">
              <w:t xml:space="preserve"> to a </w:t>
            </w:r>
            <w:proofErr w:type="spellStart"/>
            <w:r w:rsidRPr="00EB0CAF">
              <w:t>higher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number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of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employed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foreign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nationals</w:t>
            </w:r>
            <w:proofErr w:type="spellEnd"/>
            <w:r w:rsidRPr="00EB0CAF">
              <w:t xml:space="preserve">, </w:t>
            </w:r>
            <w:proofErr w:type="spellStart"/>
            <w:r w:rsidRPr="00EB0CAF">
              <w:t>while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the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number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of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employed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Slovenian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citizens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fell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slightly</w:t>
            </w:r>
            <w:proofErr w:type="spellEnd"/>
            <w:r w:rsidRPr="00EB0CAF">
              <w:t xml:space="preserve">. </w:t>
            </w:r>
            <w:proofErr w:type="spellStart"/>
            <w:r w:rsidRPr="00EB0CAF">
              <w:t>The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share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of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foreign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citizens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among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all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persons</w:t>
            </w:r>
            <w:proofErr w:type="spellEnd"/>
            <w:r w:rsidRPr="00EB0CAF">
              <w:t xml:space="preserve"> in </w:t>
            </w:r>
            <w:proofErr w:type="spellStart"/>
            <w:r w:rsidRPr="00EB0CAF">
              <w:t>employment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was</w:t>
            </w:r>
            <w:proofErr w:type="spellEnd"/>
            <w:r w:rsidRPr="00EB0CAF">
              <w:t xml:space="preserve"> 15.7% in April, 1.4 </w:t>
            </w:r>
            <w:proofErr w:type="spellStart"/>
            <w:r w:rsidRPr="00EB0CAF">
              <w:t>p.p</w:t>
            </w:r>
            <w:proofErr w:type="spellEnd"/>
            <w:r w:rsidRPr="00EB0CAF">
              <w:t xml:space="preserve">. </w:t>
            </w:r>
            <w:proofErr w:type="spellStart"/>
            <w:r w:rsidRPr="00EB0CAF">
              <w:t>higher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than</w:t>
            </w:r>
            <w:proofErr w:type="spellEnd"/>
            <w:r w:rsidRPr="00EB0CAF">
              <w:t xml:space="preserve"> a </w:t>
            </w:r>
            <w:proofErr w:type="spellStart"/>
            <w:r w:rsidRPr="00EB0CAF">
              <w:t>year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earlier</w:t>
            </w:r>
            <w:proofErr w:type="spellEnd"/>
            <w:r w:rsidRPr="00EB0CAF">
              <w:t xml:space="preserve">. </w:t>
            </w:r>
            <w:proofErr w:type="spellStart"/>
            <w:r w:rsidRPr="00EB0CAF">
              <w:t>Notably</w:t>
            </w:r>
            <w:proofErr w:type="spellEnd"/>
            <w:r w:rsidRPr="00EB0CAF">
              <w:t xml:space="preserve">, </w:t>
            </w:r>
            <w:proofErr w:type="spellStart"/>
            <w:r w:rsidRPr="00EB0CAF">
              <w:t>the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activities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with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the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largest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shares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of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foreign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workers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were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construction</w:t>
            </w:r>
            <w:proofErr w:type="spellEnd"/>
            <w:r w:rsidRPr="00EB0CAF">
              <w:t xml:space="preserve"> (50%), </w:t>
            </w:r>
            <w:proofErr w:type="spellStart"/>
            <w:r w:rsidRPr="00EB0CAF">
              <w:t>transportation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and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storage</w:t>
            </w:r>
            <w:proofErr w:type="spellEnd"/>
            <w:r w:rsidRPr="00EB0CAF">
              <w:t xml:space="preserve"> (33%) </w:t>
            </w:r>
            <w:proofErr w:type="spellStart"/>
            <w:r w:rsidRPr="00EB0CAF">
              <w:t>and</w:t>
            </w:r>
            <w:proofErr w:type="spellEnd"/>
            <w:r w:rsidRPr="00EB0CAF">
              <w:t xml:space="preserve"> administrative </w:t>
            </w:r>
            <w:proofErr w:type="spellStart"/>
            <w:r w:rsidRPr="00EB0CAF">
              <w:t>and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support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service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activities</w:t>
            </w:r>
            <w:proofErr w:type="spellEnd"/>
            <w:r w:rsidRPr="00EB0CAF">
              <w:t xml:space="preserve"> (29%).</w:t>
            </w:r>
          </w:p>
        </w:tc>
      </w:tr>
    </w:tbl>
    <w:p w14:paraId="2C29D47E" w14:textId="77777777" w:rsidR="00415DC9" w:rsidRDefault="00415DC9" w:rsidP="00415DC9">
      <w:pPr>
        <w:tabs>
          <w:tab w:val="left" w:pos="580"/>
        </w:tabs>
      </w:pPr>
    </w:p>
    <w:p w14:paraId="48C7CBA4" w14:textId="77777777" w:rsidR="00506A6D" w:rsidRDefault="00506A6D">
      <w:r>
        <w:rPr>
          <w:b/>
        </w:rPr>
        <w:br w:type="page"/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536"/>
      </w:tblGrid>
      <w:tr w:rsidR="0040630F" w14:paraId="57CFE840" w14:textId="77777777" w:rsidTr="00105DA7">
        <w:tc>
          <w:tcPr>
            <w:tcW w:w="5103" w:type="dxa"/>
            <w:tcBorders>
              <w:bottom w:val="single" w:sz="4" w:space="0" w:color="auto"/>
            </w:tcBorders>
          </w:tcPr>
          <w:p w14:paraId="5BC99EA5" w14:textId="1A26423D" w:rsidR="0040630F" w:rsidRDefault="00476FBA" w:rsidP="00105DA7">
            <w:pPr>
              <w:pStyle w:val="GTNaslovgrafa"/>
            </w:pPr>
            <w:proofErr w:type="spellStart"/>
            <w:r w:rsidRPr="00EB0CAF">
              <w:lastRenderedPageBreak/>
              <w:t>Average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gross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wage</w:t>
            </w:r>
            <w:proofErr w:type="spellEnd"/>
            <w:r w:rsidRPr="00EB0CAF">
              <w:t xml:space="preserve"> per </w:t>
            </w:r>
            <w:proofErr w:type="spellStart"/>
            <w:r w:rsidRPr="00EB0CAF">
              <w:t>employee</w:t>
            </w:r>
            <w:proofErr w:type="spellEnd"/>
            <w:r w:rsidRPr="00EB0CAF">
              <w:t>, April 2024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0D7F49C" w14:textId="77777777" w:rsidR="0040630F" w:rsidRDefault="0040630F" w:rsidP="00105DA7">
            <w:pPr>
              <w:pStyle w:val="GTBesedilo"/>
            </w:pPr>
          </w:p>
        </w:tc>
      </w:tr>
      <w:tr w:rsidR="0040630F" w14:paraId="29CCA685" w14:textId="77777777" w:rsidTr="00105DA7">
        <w:tc>
          <w:tcPr>
            <w:tcW w:w="5103" w:type="dxa"/>
            <w:tcBorders>
              <w:top w:val="single" w:sz="4" w:space="0" w:color="auto"/>
            </w:tcBorders>
          </w:tcPr>
          <w:p w14:paraId="6369215D" w14:textId="77777777" w:rsidR="0040630F" w:rsidRDefault="00476FBA" w:rsidP="00105DA7">
            <w:pPr>
              <w:pStyle w:val="GTBesedilo"/>
            </w:pPr>
            <w:r>
              <w:rPr>
                <w:noProof/>
              </w:rPr>
              <w:drawing>
                <wp:inline distT="0" distB="0" distL="0" distR="0" wp14:anchorId="2860829D" wp14:editId="57956696">
                  <wp:extent cx="3189600" cy="2372400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600" cy="237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A247CB3" w14:textId="77777777" w:rsidR="00476FBA" w:rsidRDefault="00476FBA" w:rsidP="00105DA7">
            <w:pPr>
              <w:pStyle w:val="GTBesedilo"/>
            </w:pPr>
          </w:p>
          <w:p w14:paraId="5E0DC873" w14:textId="08D3A36B" w:rsidR="00476FBA" w:rsidRDefault="00476FBA" w:rsidP="00105DA7">
            <w:pPr>
              <w:pStyle w:val="GTBesedilo"/>
            </w:pPr>
            <w:r>
              <w:rPr>
                <w:noProof/>
              </w:rPr>
              <w:drawing>
                <wp:inline distT="0" distB="0" distL="0" distR="0" wp14:anchorId="75459A58" wp14:editId="3A3103E8">
                  <wp:extent cx="3207600" cy="2368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7600" cy="236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D948C61" w14:textId="77777777" w:rsidR="00506A6D" w:rsidRPr="00EB0CAF" w:rsidRDefault="00506A6D" w:rsidP="00506A6D">
            <w:pPr>
              <w:pStyle w:val="GTBesedilo"/>
            </w:pPr>
            <w:proofErr w:type="spellStart"/>
            <w:r w:rsidRPr="00EB0CAF">
              <w:rPr>
                <w:b/>
                <w:bCs/>
              </w:rPr>
              <w:t>Since</w:t>
            </w:r>
            <w:proofErr w:type="spellEnd"/>
            <w:r w:rsidRPr="00EB0CAF">
              <w:rPr>
                <w:b/>
                <w:bCs/>
              </w:rPr>
              <w:t xml:space="preserve"> April, </w:t>
            </w:r>
            <w:proofErr w:type="spellStart"/>
            <w:r w:rsidRPr="00EB0CAF">
              <w:rPr>
                <w:b/>
                <w:bCs/>
              </w:rPr>
              <w:t>calculation</w:t>
            </w:r>
            <w:proofErr w:type="spellEnd"/>
            <w:r w:rsidRPr="00EB0CAF">
              <w:rPr>
                <w:b/>
                <w:bCs/>
              </w:rPr>
              <w:t xml:space="preserve"> </w:t>
            </w:r>
            <w:proofErr w:type="spellStart"/>
            <w:r w:rsidRPr="00EB0CAF">
              <w:rPr>
                <w:b/>
                <w:bCs/>
              </w:rPr>
              <w:t>of</w:t>
            </w:r>
            <w:proofErr w:type="spellEnd"/>
            <w:r w:rsidRPr="00EB0CAF">
              <w:rPr>
                <w:b/>
                <w:bCs/>
              </w:rPr>
              <w:t xml:space="preserve"> data on </w:t>
            </w:r>
            <w:proofErr w:type="spellStart"/>
            <w:r w:rsidRPr="00EB0CAF">
              <w:rPr>
                <w:b/>
                <w:bCs/>
              </w:rPr>
              <w:t>earnings</w:t>
            </w:r>
            <w:proofErr w:type="spellEnd"/>
            <w:r w:rsidRPr="00EB0CAF">
              <w:rPr>
                <w:b/>
                <w:bCs/>
              </w:rPr>
              <w:t xml:space="preserve"> </w:t>
            </w:r>
            <w:proofErr w:type="spellStart"/>
            <w:r w:rsidRPr="00EB0CAF">
              <w:rPr>
                <w:b/>
                <w:bCs/>
              </w:rPr>
              <w:t>uses</w:t>
            </w:r>
            <w:proofErr w:type="spellEnd"/>
            <w:r w:rsidRPr="00EB0CAF">
              <w:rPr>
                <w:b/>
                <w:bCs/>
              </w:rPr>
              <w:t xml:space="preserve"> a </w:t>
            </w:r>
            <w:proofErr w:type="spellStart"/>
            <w:r w:rsidRPr="00EB0CAF">
              <w:rPr>
                <w:b/>
                <w:bCs/>
              </w:rPr>
              <w:t>new</w:t>
            </w:r>
            <w:proofErr w:type="spellEnd"/>
            <w:r w:rsidRPr="00EB0CAF">
              <w:rPr>
                <w:b/>
                <w:bCs/>
              </w:rPr>
              <w:t xml:space="preserve"> data </w:t>
            </w:r>
            <w:proofErr w:type="spellStart"/>
            <w:r w:rsidRPr="00EB0CAF">
              <w:rPr>
                <w:b/>
                <w:bCs/>
              </w:rPr>
              <w:t>source</w:t>
            </w:r>
            <w:proofErr w:type="spellEnd"/>
            <w:r w:rsidRPr="00EB0CAF">
              <w:rPr>
                <w:b/>
                <w:bCs/>
              </w:rPr>
              <w:t xml:space="preserve">; </w:t>
            </w:r>
            <w:proofErr w:type="spellStart"/>
            <w:r w:rsidRPr="00EB0CAF">
              <w:rPr>
                <w:b/>
                <w:bCs/>
              </w:rPr>
              <w:t>the</w:t>
            </w:r>
            <w:proofErr w:type="spellEnd"/>
            <w:r w:rsidRPr="00EB0CAF">
              <w:rPr>
                <w:b/>
                <w:bCs/>
              </w:rPr>
              <w:t xml:space="preserve"> </w:t>
            </w:r>
            <w:proofErr w:type="spellStart"/>
            <w:r w:rsidRPr="00EB0CAF">
              <w:rPr>
                <w:b/>
                <w:bCs/>
              </w:rPr>
              <w:t>year</w:t>
            </w:r>
            <w:proofErr w:type="spellEnd"/>
            <w:r w:rsidRPr="00EB0CAF">
              <w:rPr>
                <w:b/>
                <w:bCs/>
              </w:rPr>
              <w:t>-on-</w:t>
            </w:r>
            <w:proofErr w:type="spellStart"/>
            <w:r w:rsidRPr="00EB0CAF">
              <w:rPr>
                <w:b/>
                <w:bCs/>
              </w:rPr>
              <w:t>year</w:t>
            </w:r>
            <w:proofErr w:type="spellEnd"/>
            <w:r w:rsidRPr="00EB0CAF">
              <w:rPr>
                <w:b/>
                <w:bCs/>
              </w:rPr>
              <w:t xml:space="preserve"> </w:t>
            </w:r>
            <w:proofErr w:type="spellStart"/>
            <w:r w:rsidRPr="00EB0CAF">
              <w:rPr>
                <w:b/>
                <w:bCs/>
              </w:rPr>
              <w:t>growth</w:t>
            </w:r>
            <w:proofErr w:type="spellEnd"/>
            <w:r w:rsidRPr="00EB0CAF">
              <w:rPr>
                <w:b/>
                <w:bCs/>
              </w:rPr>
              <w:t xml:space="preserve"> in </w:t>
            </w:r>
            <w:proofErr w:type="spellStart"/>
            <w:r w:rsidRPr="00EB0CAF">
              <w:rPr>
                <w:b/>
                <w:bCs/>
              </w:rPr>
              <w:t>the</w:t>
            </w:r>
            <w:proofErr w:type="spellEnd"/>
            <w:r w:rsidRPr="00EB0CAF">
              <w:rPr>
                <w:b/>
                <w:bCs/>
              </w:rPr>
              <w:t xml:space="preserve"> </w:t>
            </w:r>
            <w:proofErr w:type="spellStart"/>
            <w:r w:rsidRPr="00EB0CAF">
              <w:rPr>
                <w:b/>
                <w:bCs/>
              </w:rPr>
              <w:t>average</w:t>
            </w:r>
            <w:proofErr w:type="spellEnd"/>
            <w:r w:rsidRPr="00EB0CAF">
              <w:rPr>
                <w:b/>
                <w:bCs/>
              </w:rPr>
              <w:t xml:space="preserve"> </w:t>
            </w:r>
            <w:proofErr w:type="spellStart"/>
            <w:r w:rsidRPr="00EB0CAF">
              <w:rPr>
                <w:b/>
                <w:bCs/>
              </w:rPr>
              <w:t>gross</w:t>
            </w:r>
            <w:proofErr w:type="spellEnd"/>
            <w:r w:rsidRPr="00EB0CAF">
              <w:rPr>
                <w:b/>
                <w:bCs/>
              </w:rPr>
              <w:t xml:space="preserve"> </w:t>
            </w:r>
            <w:proofErr w:type="spellStart"/>
            <w:r w:rsidRPr="00EB0CAF">
              <w:rPr>
                <w:b/>
                <w:bCs/>
              </w:rPr>
              <w:t>wage</w:t>
            </w:r>
            <w:proofErr w:type="spellEnd"/>
            <w:r w:rsidRPr="00EB0CAF">
              <w:rPr>
                <w:b/>
                <w:bCs/>
              </w:rPr>
              <w:t xml:space="preserve"> </w:t>
            </w:r>
            <w:proofErr w:type="spellStart"/>
            <w:r w:rsidRPr="00EB0CAF">
              <w:rPr>
                <w:b/>
                <w:bCs/>
              </w:rPr>
              <w:t>was</w:t>
            </w:r>
            <w:proofErr w:type="spellEnd"/>
            <w:r w:rsidRPr="00EB0CAF">
              <w:rPr>
                <w:b/>
                <w:bCs/>
              </w:rPr>
              <w:t xml:space="preserve"> </w:t>
            </w:r>
            <w:proofErr w:type="spellStart"/>
            <w:r w:rsidRPr="00EB0CAF">
              <w:rPr>
                <w:b/>
                <w:bCs/>
              </w:rPr>
              <w:t>slightly</w:t>
            </w:r>
            <w:proofErr w:type="spellEnd"/>
            <w:r w:rsidRPr="00EB0CAF">
              <w:rPr>
                <w:b/>
                <w:bCs/>
              </w:rPr>
              <w:t xml:space="preserve"> </w:t>
            </w:r>
            <w:proofErr w:type="spellStart"/>
            <w:r w:rsidRPr="00EB0CAF">
              <w:rPr>
                <w:b/>
                <w:bCs/>
              </w:rPr>
              <w:t>higher</w:t>
            </w:r>
            <w:proofErr w:type="spellEnd"/>
            <w:r w:rsidRPr="00EB0CAF">
              <w:rPr>
                <w:b/>
                <w:bCs/>
              </w:rPr>
              <w:t xml:space="preserve"> (3.4%) </w:t>
            </w:r>
            <w:proofErr w:type="spellStart"/>
            <w:r w:rsidRPr="00EB0CAF">
              <w:rPr>
                <w:b/>
                <w:bCs/>
              </w:rPr>
              <w:t>than</w:t>
            </w:r>
            <w:proofErr w:type="spellEnd"/>
            <w:r w:rsidRPr="00EB0CAF">
              <w:rPr>
                <w:b/>
                <w:bCs/>
              </w:rPr>
              <w:t xml:space="preserve"> in </w:t>
            </w:r>
            <w:proofErr w:type="spellStart"/>
            <w:r w:rsidRPr="00EB0CAF">
              <w:rPr>
                <w:b/>
                <w:bCs/>
              </w:rPr>
              <w:t>March</w:t>
            </w:r>
            <w:proofErr w:type="spellEnd"/>
            <w:r w:rsidRPr="00EB0CAF">
              <w:rPr>
                <w:b/>
                <w:bCs/>
              </w:rPr>
              <w:t>.</w:t>
            </w:r>
            <w:r w:rsidRPr="00EB0CAF">
              <w:rPr>
                <w:b/>
              </w:rPr>
              <w:t xml:space="preserve"> </w:t>
            </w:r>
            <w:proofErr w:type="spellStart"/>
            <w:r w:rsidRPr="00EB0CAF">
              <w:t>With</w:t>
            </w:r>
            <w:proofErr w:type="spellEnd"/>
            <w:r w:rsidRPr="00EB0CAF">
              <w:t xml:space="preserve"> a </w:t>
            </w:r>
            <w:proofErr w:type="spellStart"/>
            <w:r w:rsidRPr="00EB0CAF">
              <w:t>slightly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lower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inflation</w:t>
            </w:r>
            <w:proofErr w:type="spellEnd"/>
            <w:r w:rsidRPr="00EB0CAF">
              <w:t xml:space="preserve">, </w:t>
            </w:r>
            <w:proofErr w:type="spellStart"/>
            <w:r w:rsidRPr="00EB0CAF">
              <w:t>this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was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mainly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due</w:t>
            </w:r>
            <w:proofErr w:type="spellEnd"/>
            <w:r w:rsidRPr="00EB0CAF">
              <w:t xml:space="preserve"> to </w:t>
            </w:r>
            <w:proofErr w:type="spellStart"/>
            <w:r w:rsidRPr="00EB0CAF">
              <w:t>the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relatively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high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growth</w:t>
            </w:r>
            <w:proofErr w:type="spellEnd"/>
            <w:r w:rsidRPr="00EB0CAF">
              <w:t xml:space="preserve"> in </w:t>
            </w:r>
            <w:proofErr w:type="spellStart"/>
            <w:r w:rsidRPr="00EB0CAF">
              <w:t>the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private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sector</w:t>
            </w:r>
            <w:proofErr w:type="spellEnd"/>
            <w:r w:rsidRPr="00EB0CAF">
              <w:t xml:space="preserve"> (5.7%). </w:t>
            </w:r>
            <w:proofErr w:type="spellStart"/>
            <w:r w:rsidRPr="00EB0CAF">
              <w:t>The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highest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growth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was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recorded</w:t>
            </w:r>
            <w:proofErr w:type="spellEnd"/>
            <w:r w:rsidRPr="00EB0CAF">
              <w:t xml:space="preserve"> in </w:t>
            </w:r>
            <w:proofErr w:type="spellStart"/>
            <w:r w:rsidRPr="00EB0CAF">
              <w:t>construction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and</w:t>
            </w:r>
            <w:proofErr w:type="spellEnd"/>
            <w:r w:rsidRPr="00EB0CAF">
              <w:t xml:space="preserve"> administrative </w:t>
            </w:r>
            <w:proofErr w:type="spellStart"/>
            <w:r w:rsidRPr="00EB0CAF">
              <w:t>and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support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service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activities</w:t>
            </w:r>
            <w:proofErr w:type="spellEnd"/>
            <w:r w:rsidRPr="00EB0CAF">
              <w:t xml:space="preserve">. In </w:t>
            </w:r>
            <w:proofErr w:type="spellStart"/>
            <w:r w:rsidRPr="00EB0CAF">
              <w:t>the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public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sector</w:t>
            </w:r>
            <w:proofErr w:type="spellEnd"/>
            <w:r w:rsidRPr="00EB0CAF">
              <w:t xml:space="preserve">, </w:t>
            </w:r>
            <w:proofErr w:type="spellStart"/>
            <w:r w:rsidRPr="00EB0CAF">
              <w:t>the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average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gross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wage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fell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by</w:t>
            </w:r>
            <w:proofErr w:type="spellEnd"/>
            <w:r w:rsidRPr="00EB0CAF">
              <w:t xml:space="preserve"> 0.8% </w:t>
            </w:r>
            <w:proofErr w:type="spellStart"/>
            <w:r w:rsidRPr="00EB0CAF">
              <w:t>year</w:t>
            </w:r>
            <w:proofErr w:type="spellEnd"/>
            <w:r w:rsidRPr="00EB0CAF">
              <w:t>-on-</w:t>
            </w:r>
            <w:proofErr w:type="spellStart"/>
            <w:r w:rsidRPr="00EB0CAF">
              <w:t>year</w:t>
            </w:r>
            <w:proofErr w:type="spellEnd"/>
            <w:r w:rsidRPr="00EB0CAF">
              <w:t xml:space="preserve"> in real </w:t>
            </w:r>
            <w:proofErr w:type="spellStart"/>
            <w:r w:rsidRPr="00EB0CAF">
              <w:t>terms</w:t>
            </w:r>
            <w:proofErr w:type="spellEnd"/>
            <w:r w:rsidRPr="00EB0CAF">
              <w:t xml:space="preserve">, </w:t>
            </w:r>
            <w:proofErr w:type="spellStart"/>
            <w:r w:rsidRPr="00EB0CAF">
              <w:t>which</w:t>
            </w:r>
            <w:proofErr w:type="spellEnd"/>
            <w:r w:rsidRPr="00EB0CAF">
              <w:t xml:space="preserve"> is </w:t>
            </w:r>
            <w:proofErr w:type="spellStart"/>
            <w:r w:rsidRPr="00EB0CAF">
              <w:t>linked</w:t>
            </w:r>
            <w:proofErr w:type="spellEnd"/>
            <w:r w:rsidRPr="00EB0CAF">
              <w:t xml:space="preserve"> to last </w:t>
            </w:r>
            <w:proofErr w:type="spellStart"/>
            <w:r w:rsidRPr="00EB0CAF">
              <w:t>year's</w:t>
            </w:r>
            <w:proofErr w:type="spellEnd"/>
            <w:r w:rsidRPr="00EB0CAF">
              <w:t xml:space="preserve"> base (</w:t>
            </w:r>
            <w:proofErr w:type="spellStart"/>
            <w:r w:rsidRPr="00EB0CAF">
              <w:t>wage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increase</w:t>
            </w:r>
            <w:proofErr w:type="spellEnd"/>
            <w:r w:rsidRPr="00EB0CAF">
              <w:t xml:space="preserve"> in April 2023). In </w:t>
            </w:r>
            <w:proofErr w:type="spellStart"/>
            <w:r w:rsidRPr="00EB0CAF">
              <w:t>the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first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four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months</w:t>
            </w:r>
            <w:proofErr w:type="spellEnd"/>
            <w:r w:rsidRPr="00EB0CAF">
              <w:t xml:space="preserve">, </w:t>
            </w:r>
            <w:proofErr w:type="spellStart"/>
            <w:r w:rsidRPr="00EB0CAF">
              <w:t>overall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average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gross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wage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increased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by</w:t>
            </w:r>
            <w:proofErr w:type="spellEnd"/>
            <w:r w:rsidRPr="00EB0CAF">
              <w:t xml:space="preserve"> 7% in nominal </w:t>
            </w:r>
            <w:proofErr w:type="spellStart"/>
            <w:r w:rsidRPr="00EB0CAF">
              <w:t>terms</w:t>
            </w:r>
            <w:proofErr w:type="spellEnd"/>
            <w:r w:rsidRPr="00EB0CAF">
              <w:t xml:space="preserve"> – </w:t>
            </w:r>
            <w:proofErr w:type="spellStart"/>
            <w:r w:rsidRPr="00EB0CAF">
              <w:t>by</w:t>
            </w:r>
            <w:proofErr w:type="spellEnd"/>
            <w:r w:rsidRPr="00EB0CAF">
              <w:t xml:space="preserve"> 8.2% in </w:t>
            </w:r>
            <w:proofErr w:type="spellStart"/>
            <w:r w:rsidRPr="00EB0CAF">
              <w:t>the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public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sector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and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by</w:t>
            </w:r>
            <w:proofErr w:type="spellEnd"/>
            <w:r w:rsidRPr="00EB0CAF">
              <w:t xml:space="preserve"> 4.9% in </w:t>
            </w:r>
            <w:proofErr w:type="spellStart"/>
            <w:r w:rsidRPr="00EB0CAF">
              <w:t>the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private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sector</w:t>
            </w:r>
            <w:proofErr w:type="spellEnd"/>
            <w:r w:rsidRPr="00EB0CAF">
              <w:t>.</w:t>
            </w:r>
          </w:p>
          <w:p w14:paraId="16DA2E12" w14:textId="77777777" w:rsidR="00506A6D" w:rsidRPr="00EB0CAF" w:rsidRDefault="00506A6D" w:rsidP="00506A6D">
            <w:pPr>
              <w:pStyle w:val="GTBesedilo"/>
            </w:pPr>
          </w:p>
          <w:p w14:paraId="51CFBE84" w14:textId="4B26314B" w:rsidR="0040630F" w:rsidRDefault="00506A6D" w:rsidP="00506A6D">
            <w:pPr>
              <w:pStyle w:val="GTBesedilo"/>
            </w:pPr>
            <w:r w:rsidRPr="00EB0CAF">
              <w:t xml:space="preserve">SURS </w:t>
            </w:r>
            <w:proofErr w:type="spellStart"/>
            <w:r w:rsidRPr="00EB0CAF">
              <w:t>now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uses</w:t>
            </w:r>
            <w:proofErr w:type="spellEnd"/>
            <w:r w:rsidRPr="00EB0CAF">
              <w:t xml:space="preserve"> data </w:t>
            </w:r>
            <w:proofErr w:type="spellStart"/>
            <w:r w:rsidRPr="00EB0CAF">
              <w:t>from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the</w:t>
            </w:r>
            <w:proofErr w:type="spellEnd"/>
            <w:r w:rsidRPr="00EB0CAF">
              <w:t xml:space="preserve"> REK-O form, </w:t>
            </w:r>
            <w:proofErr w:type="spellStart"/>
            <w:r w:rsidRPr="00EB0CAF">
              <w:t>which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differs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from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the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old</w:t>
            </w:r>
            <w:proofErr w:type="spellEnd"/>
            <w:r w:rsidRPr="00EB0CAF">
              <w:t xml:space="preserve"> ZAP/M form </w:t>
            </w:r>
            <w:proofErr w:type="spellStart"/>
            <w:r w:rsidRPr="00EB0CAF">
              <w:t>by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the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different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reporting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of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extra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payments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and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overdue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payments</w:t>
            </w:r>
            <w:proofErr w:type="spellEnd"/>
            <w:r w:rsidRPr="00EB0CAF">
              <w:t xml:space="preserve">. </w:t>
            </w:r>
            <w:proofErr w:type="spellStart"/>
            <w:r w:rsidRPr="00EB0CAF">
              <w:t>The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monthly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gross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wage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differences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between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the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two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sources</w:t>
            </w:r>
            <w:proofErr w:type="spellEnd"/>
            <w:r w:rsidRPr="00EB0CAF">
              <w:t xml:space="preserve"> are </w:t>
            </w:r>
            <w:proofErr w:type="spellStart"/>
            <w:r w:rsidRPr="00EB0CAF">
              <w:t>between</w:t>
            </w:r>
            <w:proofErr w:type="spellEnd"/>
            <w:r w:rsidRPr="00EB0CAF">
              <w:t xml:space="preserve"> -2.2% </w:t>
            </w:r>
            <w:proofErr w:type="spellStart"/>
            <w:r w:rsidRPr="00EB0CAF">
              <w:t>and</w:t>
            </w:r>
            <w:proofErr w:type="spellEnd"/>
            <w:r w:rsidRPr="00EB0CAF">
              <w:t xml:space="preserve"> +2.0%, </w:t>
            </w:r>
            <w:proofErr w:type="spellStart"/>
            <w:r w:rsidRPr="00EB0CAF">
              <w:t>with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the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exception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of</w:t>
            </w:r>
            <w:proofErr w:type="spellEnd"/>
            <w:r w:rsidRPr="00EB0CAF">
              <w:t xml:space="preserve"> December 2023, </w:t>
            </w:r>
            <w:proofErr w:type="spellStart"/>
            <w:r w:rsidRPr="00EB0CAF">
              <w:t>where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the</w:t>
            </w:r>
            <w:proofErr w:type="spellEnd"/>
            <w:r w:rsidRPr="00EB0CAF">
              <w:t xml:space="preserve"> data </w:t>
            </w:r>
            <w:proofErr w:type="spellStart"/>
            <w:r w:rsidRPr="00EB0CAF">
              <w:t>from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the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new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source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was</w:t>
            </w:r>
            <w:proofErr w:type="spellEnd"/>
            <w:r w:rsidRPr="00EB0CAF">
              <w:t xml:space="preserve"> 14.9% </w:t>
            </w:r>
            <w:proofErr w:type="spellStart"/>
            <w:r w:rsidRPr="00EB0CAF">
              <w:t>higher</w:t>
            </w:r>
            <w:proofErr w:type="spellEnd"/>
            <w:r w:rsidRPr="00EB0CAF">
              <w:t xml:space="preserve">. </w:t>
            </w:r>
            <w:proofErr w:type="spellStart"/>
            <w:r w:rsidRPr="00EB0CAF">
              <w:t>Consequently</w:t>
            </w:r>
            <w:proofErr w:type="spellEnd"/>
            <w:r w:rsidRPr="00EB0CAF">
              <w:t xml:space="preserve">, </w:t>
            </w:r>
            <w:proofErr w:type="spellStart"/>
            <w:r w:rsidRPr="00EB0CAF">
              <w:t>growth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rates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also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differ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slightly</w:t>
            </w:r>
            <w:proofErr w:type="spellEnd"/>
            <w:r w:rsidRPr="00EB0CAF">
              <w:t xml:space="preserve">. As </w:t>
            </w:r>
            <w:proofErr w:type="spellStart"/>
            <w:r w:rsidRPr="00EB0CAF">
              <w:t>the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raw</w:t>
            </w:r>
            <w:proofErr w:type="spellEnd"/>
            <w:r w:rsidRPr="00EB0CAF">
              <w:t xml:space="preserve"> data </w:t>
            </w:r>
            <w:proofErr w:type="spellStart"/>
            <w:r w:rsidRPr="00EB0CAF">
              <w:t>according</w:t>
            </w:r>
            <w:proofErr w:type="spellEnd"/>
            <w:r w:rsidRPr="00EB0CAF">
              <w:t xml:space="preserve"> to </w:t>
            </w:r>
            <w:proofErr w:type="spellStart"/>
            <w:r w:rsidRPr="00EB0CAF">
              <w:t>the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new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methodology</w:t>
            </w:r>
            <w:proofErr w:type="spellEnd"/>
            <w:r w:rsidRPr="00EB0CAF">
              <w:t xml:space="preserve"> is </w:t>
            </w:r>
            <w:proofErr w:type="spellStart"/>
            <w:r w:rsidRPr="00EB0CAF">
              <w:t>published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for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the</w:t>
            </w:r>
            <w:proofErr w:type="spellEnd"/>
            <w:r w:rsidRPr="00EB0CAF">
              <w:t xml:space="preserve"> last 15 </w:t>
            </w:r>
            <w:proofErr w:type="spellStart"/>
            <w:r w:rsidRPr="00EB0CAF">
              <w:t>months</w:t>
            </w:r>
            <w:proofErr w:type="spellEnd"/>
            <w:r w:rsidRPr="00EB0CAF">
              <w:t xml:space="preserve">, </w:t>
            </w:r>
            <w:proofErr w:type="spellStart"/>
            <w:r w:rsidRPr="00EB0CAF">
              <w:t>the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calculation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of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the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year</w:t>
            </w:r>
            <w:proofErr w:type="spellEnd"/>
            <w:r w:rsidRPr="00EB0CAF">
              <w:t>-on-</w:t>
            </w:r>
            <w:proofErr w:type="spellStart"/>
            <w:r w:rsidRPr="00EB0CAF">
              <w:t>year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growth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and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then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the</w:t>
            </w:r>
            <w:proofErr w:type="spellEnd"/>
            <w:r w:rsidRPr="00EB0CAF">
              <w:t xml:space="preserve"> 3-month </w:t>
            </w:r>
            <w:proofErr w:type="spellStart"/>
            <w:r w:rsidRPr="00EB0CAF">
              <w:t>moving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average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means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that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the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series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shown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only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overlap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by</w:t>
            </w:r>
            <w:proofErr w:type="spellEnd"/>
            <w:r w:rsidRPr="00EB0CAF">
              <w:t xml:space="preserve"> one </w:t>
            </w:r>
            <w:proofErr w:type="spellStart"/>
            <w:r w:rsidRPr="00EB0CAF">
              <w:t>month</w:t>
            </w:r>
            <w:proofErr w:type="spellEnd"/>
            <w:r w:rsidRPr="00EB0CAF">
              <w:t>.</w:t>
            </w:r>
          </w:p>
        </w:tc>
      </w:tr>
    </w:tbl>
    <w:p w14:paraId="2B1D0A9E" w14:textId="77777777" w:rsidR="00415DC9" w:rsidRDefault="00415DC9" w:rsidP="00415DC9">
      <w:pPr>
        <w:tabs>
          <w:tab w:val="left" w:pos="580"/>
        </w:tabs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536"/>
      </w:tblGrid>
      <w:tr w:rsidR="0040630F" w14:paraId="0E1DAB29" w14:textId="77777777" w:rsidTr="00105DA7">
        <w:tc>
          <w:tcPr>
            <w:tcW w:w="5103" w:type="dxa"/>
            <w:tcBorders>
              <w:bottom w:val="single" w:sz="4" w:space="0" w:color="auto"/>
            </w:tcBorders>
          </w:tcPr>
          <w:p w14:paraId="142D221F" w14:textId="4E7BC126" w:rsidR="0040630F" w:rsidRDefault="00476FBA" w:rsidP="00105DA7">
            <w:pPr>
              <w:pStyle w:val="GTNaslovgrafa"/>
            </w:pPr>
            <w:proofErr w:type="spellStart"/>
            <w:r w:rsidRPr="00EB0CAF">
              <w:t>Economic</w:t>
            </w:r>
            <w:proofErr w:type="spellEnd"/>
            <w:r w:rsidRPr="00EB0CAF">
              <w:t xml:space="preserve"> sentiment, </w:t>
            </w:r>
            <w:proofErr w:type="spellStart"/>
            <w:r w:rsidRPr="00EB0CAF">
              <w:t>June</w:t>
            </w:r>
            <w:proofErr w:type="spellEnd"/>
            <w:r w:rsidRPr="00EB0CAF">
              <w:t xml:space="preserve"> 2024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282C71F" w14:textId="77777777" w:rsidR="0040630F" w:rsidRDefault="0040630F" w:rsidP="00105DA7">
            <w:pPr>
              <w:pStyle w:val="GTBesedilo"/>
            </w:pPr>
          </w:p>
        </w:tc>
      </w:tr>
      <w:tr w:rsidR="0040630F" w14:paraId="5BF71A5D" w14:textId="77777777" w:rsidTr="00105DA7">
        <w:tc>
          <w:tcPr>
            <w:tcW w:w="5103" w:type="dxa"/>
            <w:tcBorders>
              <w:top w:val="single" w:sz="4" w:space="0" w:color="auto"/>
            </w:tcBorders>
          </w:tcPr>
          <w:p w14:paraId="233BEE88" w14:textId="318D27EF" w:rsidR="0040630F" w:rsidRDefault="00476FBA" w:rsidP="00105DA7">
            <w:pPr>
              <w:pStyle w:val="GTBesedilo"/>
            </w:pPr>
            <w:r>
              <w:rPr>
                <w:noProof/>
              </w:rPr>
              <w:drawing>
                <wp:inline distT="0" distB="0" distL="0" distR="0" wp14:anchorId="24C98098" wp14:editId="0F41B7C5">
                  <wp:extent cx="3092400" cy="2487600"/>
                  <wp:effectExtent l="0" t="0" r="0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2400" cy="2487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D3A9872" w14:textId="2C6BBC41" w:rsidR="0040630F" w:rsidRDefault="00506A6D" w:rsidP="00105DA7">
            <w:pPr>
              <w:pStyle w:val="GTBesedilo"/>
            </w:pPr>
            <w:proofErr w:type="spellStart"/>
            <w:r w:rsidRPr="00EB0CAF">
              <w:rPr>
                <w:b/>
              </w:rPr>
              <w:t>The</w:t>
            </w:r>
            <w:proofErr w:type="spellEnd"/>
            <w:r w:rsidRPr="00EB0CAF">
              <w:rPr>
                <w:b/>
              </w:rPr>
              <w:t xml:space="preserve"> </w:t>
            </w:r>
            <w:proofErr w:type="spellStart"/>
            <w:r w:rsidRPr="00EB0CAF">
              <w:rPr>
                <w:b/>
              </w:rPr>
              <w:t>economic</w:t>
            </w:r>
            <w:proofErr w:type="spellEnd"/>
            <w:r w:rsidRPr="00EB0CAF">
              <w:rPr>
                <w:b/>
              </w:rPr>
              <w:t xml:space="preserve"> sentiment </w:t>
            </w:r>
            <w:proofErr w:type="spellStart"/>
            <w:r w:rsidRPr="00EB0CAF">
              <w:rPr>
                <w:b/>
              </w:rPr>
              <w:t>indicator</w:t>
            </w:r>
            <w:proofErr w:type="spellEnd"/>
            <w:r w:rsidRPr="00EB0CAF">
              <w:rPr>
                <w:b/>
              </w:rPr>
              <w:t xml:space="preserve"> </w:t>
            </w:r>
            <w:proofErr w:type="spellStart"/>
            <w:r w:rsidRPr="00EB0CAF">
              <w:rPr>
                <w:b/>
              </w:rPr>
              <w:t>improved</w:t>
            </w:r>
            <w:proofErr w:type="spellEnd"/>
            <w:r w:rsidRPr="00EB0CAF">
              <w:rPr>
                <w:b/>
              </w:rPr>
              <w:t xml:space="preserve"> </w:t>
            </w:r>
            <w:proofErr w:type="spellStart"/>
            <w:r w:rsidRPr="00EB0CAF">
              <w:rPr>
                <w:b/>
              </w:rPr>
              <w:t>slightly</w:t>
            </w:r>
            <w:proofErr w:type="spellEnd"/>
            <w:r w:rsidRPr="00EB0CAF">
              <w:rPr>
                <w:b/>
              </w:rPr>
              <w:t xml:space="preserve"> in </w:t>
            </w:r>
            <w:proofErr w:type="spellStart"/>
            <w:r w:rsidRPr="00EB0CAF">
              <w:rPr>
                <w:b/>
              </w:rPr>
              <w:t>June</w:t>
            </w:r>
            <w:proofErr w:type="spellEnd"/>
            <w:r w:rsidRPr="00EB0CAF">
              <w:rPr>
                <w:b/>
              </w:rPr>
              <w:t xml:space="preserve"> </w:t>
            </w:r>
            <w:proofErr w:type="spellStart"/>
            <w:r w:rsidRPr="00EB0CAF">
              <w:rPr>
                <w:b/>
              </w:rPr>
              <w:t>and</w:t>
            </w:r>
            <w:proofErr w:type="spellEnd"/>
            <w:r w:rsidRPr="00EB0CAF">
              <w:rPr>
                <w:b/>
              </w:rPr>
              <w:t xml:space="preserve"> </w:t>
            </w:r>
            <w:proofErr w:type="spellStart"/>
            <w:r w:rsidRPr="00EB0CAF">
              <w:rPr>
                <w:b/>
              </w:rPr>
              <w:t>remained</w:t>
            </w:r>
            <w:proofErr w:type="spellEnd"/>
            <w:r w:rsidRPr="00EB0CAF">
              <w:rPr>
                <w:b/>
              </w:rPr>
              <w:t xml:space="preserve"> </w:t>
            </w:r>
            <w:proofErr w:type="spellStart"/>
            <w:r w:rsidRPr="00EB0CAF">
              <w:rPr>
                <w:b/>
              </w:rPr>
              <w:t>higher</w:t>
            </w:r>
            <w:proofErr w:type="spellEnd"/>
            <w:r w:rsidRPr="00EB0CAF">
              <w:rPr>
                <w:b/>
              </w:rPr>
              <w:t xml:space="preserve"> </w:t>
            </w:r>
            <w:proofErr w:type="spellStart"/>
            <w:r w:rsidRPr="00EB0CAF">
              <w:rPr>
                <w:b/>
              </w:rPr>
              <w:t>year</w:t>
            </w:r>
            <w:proofErr w:type="spellEnd"/>
            <w:r w:rsidRPr="00EB0CAF">
              <w:rPr>
                <w:b/>
              </w:rPr>
              <w:t>-on-</w:t>
            </w:r>
            <w:proofErr w:type="spellStart"/>
            <w:r w:rsidRPr="00EB0CAF">
              <w:rPr>
                <w:b/>
              </w:rPr>
              <w:t>year</w:t>
            </w:r>
            <w:proofErr w:type="spellEnd"/>
            <w:r w:rsidRPr="00EB0CAF">
              <w:rPr>
                <w:b/>
              </w:rPr>
              <w:t>.</w:t>
            </w:r>
            <w:r w:rsidRPr="00EB0CAF">
              <w:t xml:space="preserve"> </w:t>
            </w:r>
            <w:proofErr w:type="spellStart"/>
            <w:r w:rsidRPr="00EB0CAF">
              <w:t>The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improvement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compared</w:t>
            </w:r>
            <w:proofErr w:type="spellEnd"/>
            <w:r w:rsidRPr="00EB0CAF">
              <w:t xml:space="preserve"> to </w:t>
            </w:r>
            <w:proofErr w:type="spellStart"/>
            <w:r w:rsidRPr="00EB0CAF">
              <w:t>the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previous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month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was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due</w:t>
            </w:r>
            <w:proofErr w:type="spellEnd"/>
            <w:r w:rsidRPr="00EB0CAF">
              <w:t xml:space="preserve"> to </w:t>
            </w:r>
            <w:proofErr w:type="spellStart"/>
            <w:r w:rsidRPr="00EB0CAF">
              <w:t>improvements</w:t>
            </w:r>
            <w:proofErr w:type="spellEnd"/>
            <w:r w:rsidRPr="00EB0CAF">
              <w:t xml:space="preserve"> in </w:t>
            </w:r>
            <w:proofErr w:type="spellStart"/>
            <w:r w:rsidRPr="00EB0CAF">
              <w:t>the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confidence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indicators</w:t>
            </w:r>
            <w:proofErr w:type="spellEnd"/>
            <w:r w:rsidRPr="00EB0CAF">
              <w:t xml:space="preserve"> in </w:t>
            </w:r>
            <w:proofErr w:type="spellStart"/>
            <w:r w:rsidRPr="00EB0CAF">
              <w:t>retail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trade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and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among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consumers</w:t>
            </w:r>
            <w:proofErr w:type="spellEnd"/>
            <w:r w:rsidRPr="00EB0CAF">
              <w:t xml:space="preserve">, </w:t>
            </w:r>
            <w:proofErr w:type="spellStart"/>
            <w:r w:rsidRPr="00EB0CAF">
              <w:t>which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have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improved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the</w:t>
            </w:r>
            <w:proofErr w:type="spellEnd"/>
            <w:r w:rsidRPr="00EB0CAF">
              <w:t xml:space="preserve"> most </w:t>
            </w:r>
            <w:proofErr w:type="spellStart"/>
            <w:r w:rsidRPr="00EB0CAF">
              <w:t>since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the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beginning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of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the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year</w:t>
            </w:r>
            <w:proofErr w:type="spellEnd"/>
            <w:r w:rsidRPr="00EB0CAF">
              <w:t xml:space="preserve">. </w:t>
            </w:r>
            <w:proofErr w:type="spellStart"/>
            <w:r w:rsidRPr="00EB0CAF">
              <w:t>The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confidence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indicators</w:t>
            </w:r>
            <w:proofErr w:type="spellEnd"/>
            <w:r w:rsidRPr="00EB0CAF">
              <w:t xml:space="preserve"> in </w:t>
            </w:r>
            <w:proofErr w:type="spellStart"/>
            <w:r w:rsidRPr="00EB0CAF">
              <w:t>construction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and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services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deteriorated</w:t>
            </w:r>
            <w:proofErr w:type="spellEnd"/>
            <w:r w:rsidRPr="00EB0CAF">
              <w:t xml:space="preserve">, </w:t>
            </w:r>
            <w:proofErr w:type="spellStart"/>
            <w:r w:rsidRPr="00EB0CAF">
              <w:t>while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the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confidence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indicator</w:t>
            </w:r>
            <w:proofErr w:type="spellEnd"/>
            <w:r w:rsidRPr="00EB0CAF">
              <w:t xml:space="preserve"> in </w:t>
            </w:r>
            <w:proofErr w:type="spellStart"/>
            <w:r w:rsidRPr="00EB0CAF">
              <w:t>manufacturing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remained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unchanged</w:t>
            </w:r>
            <w:proofErr w:type="spellEnd"/>
            <w:r w:rsidRPr="00EB0CAF">
              <w:t xml:space="preserve">. </w:t>
            </w:r>
            <w:proofErr w:type="spellStart"/>
            <w:r w:rsidRPr="00EB0CAF">
              <w:t>With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the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exception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of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the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confidence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indicator</w:t>
            </w:r>
            <w:proofErr w:type="spellEnd"/>
            <w:r w:rsidRPr="00EB0CAF">
              <w:t xml:space="preserve"> in </w:t>
            </w:r>
            <w:proofErr w:type="spellStart"/>
            <w:r w:rsidRPr="00EB0CAF">
              <w:t>construction</w:t>
            </w:r>
            <w:proofErr w:type="spellEnd"/>
            <w:r w:rsidRPr="00EB0CAF">
              <w:t xml:space="preserve">, </w:t>
            </w:r>
            <w:proofErr w:type="spellStart"/>
            <w:r w:rsidRPr="00EB0CAF">
              <w:t>which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has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deteriorated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the</w:t>
            </w:r>
            <w:proofErr w:type="spellEnd"/>
            <w:r w:rsidRPr="00EB0CAF">
              <w:t xml:space="preserve"> most </w:t>
            </w:r>
            <w:proofErr w:type="spellStart"/>
            <w:r w:rsidRPr="00EB0CAF">
              <w:t>since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the</w:t>
            </w:r>
            <w:proofErr w:type="spellEnd"/>
            <w:r w:rsidRPr="00EB0CAF">
              <w:t xml:space="preserve"> start </w:t>
            </w:r>
            <w:proofErr w:type="spellStart"/>
            <w:r w:rsidRPr="00EB0CAF">
              <w:t>of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the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year</w:t>
            </w:r>
            <w:proofErr w:type="spellEnd"/>
            <w:r w:rsidRPr="00EB0CAF">
              <w:t xml:space="preserve">, </w:t>
            </w:r>
            <w:proofErr w:type="spellStart"/>
            <w:r w:rsidRPr="00EB0CAF">
              <w:t>all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confidence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indicators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contributed</w:t>
            </w:r>
            <w:proofErr w:type="spellEnd"/>
            <w:r w:rsidRPr="00EB0CAF">
              <w:t xml:space="preserve"> to </w:t>
            </w:r>
            <w:proofErr w:type="spellStart"/>
            <w:r w:rsidRPr="00EB0CAF">
              <w:t>the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year</w:t>
            </w:r>
            <w:proofErr w:type="spellEnd"/>
            <w:r w:rsidRPr="00EB0CAF">
              <w:t>-on-</w:t>
            </w:r>
            <w:proofErr w:type="spellStart"/>
            <w:r w:rsidRPr="00EB0CAF">
              <w:t>year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increase</w:t>
            </w:r>
            <w:proofErr w:type="spellEnd"/>
            <w:r w:rsidRPr="00EB0CAF">
              <w:t xml:space="preserve"> in </w:t>
            </w:r>
            <w:proofErr w:type="spellStart"/>
            <w:r w:rsidRPr="00EB0CAF">
              <w:t>the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economic</w:t>
            </w:r>
            <w:proofErr w:type="spellEnd"/>
            <w:r w:rsidRPr="00EB0CAF">
              <w:t xml:space="preserve"> sentiment </w:t>
            </w:r>
            <w:proofErr w:type="spellStart"/>
            <w:r w:rsidRPr="00EB0CAF">
              <w:t>indicator</w:t>
            </w:r>
            <w:proofErr w:type="spellEnd"/>
            <w:r w:rsidRPr="00EB0CAF">
              <w:t xml:space="preserve"> in </w:t>
            </w:r>
            <w:proofErr w:type="spellStart"/>
            <w:r w:rsidRPr="00EB0CAF">
              <w:t>June</w:t>
            </w:r>
            <w:proofErr w:type="spellEnd"/>
            <w:r w:rsidRPr="00EB0CAF">
              <w:t>.</w:t>
            </w:r>
          </w:p>
        </w:tc>
      </w:tr>
    </w:tbl>
    <w:p w14:paraId="31BB5088" w14:textId="77777777" w:rsidR="0040630F" w:rsidRDefault="0040630F" w:rsidP="00415DC9">
      <w:pPr>
        <w:tabs>
          <w:tab w:val="left" w:pos="580"/>
        </w:tabs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536"/>
      </w:tblGrid>
      <w:tr w:rsidR="007D5F4F" w14:paraId="31641A98" w14:textId="77777777" w:rsidTr="007E0F1E">
        <w:tc>
          <w:tcPr>
            <w:tcW w:w="5103" w:type="dxa"/>
            <w:tcBorders>
              <w:bottom w:val="single" w:sz="4" w:space="0" w:color="auto"/>
            </w:tcBorders>
          </w:tcPr>
          <w:p w14:paraId="6759A01D" w14:textId="6E1427DC" w:rsidR="007D5F4F" w:rsidRDefault="00476FBA" w:rsidP="007E0F1E">
            <w:pPr>
              <w:pStyle w:val="GTNaslovgrafa"/>
            </w:pPr>
            <w:proofErr w:type="spellStart"/>
            <w:r w:rsidRPr="00EB0CAF">
              <w:lastRenderedPageBreak/>
              <w:t>Slovenian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industrial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producer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prices</w:t>
            </w:r>
            <w:proofErr w:type="spellEnd"/>
            <w:r w:rsidRPr="00EB0CAF">
              <w:t xml:space="preserve">, </w:t>
            </w:r>
            <w:proofErr w:type="spellStart"/>
            <w:r w:rsidRPr="00EB0CAF">
              <w:t>May</w:t>
            </w:r>
            <w:proofErr w:type="spellEnd"/>
            <w:r w:rsidRPr="00EB0CAF">
              <w:t xml:space="preserve"> 2024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4606734" w14:textId="77777777" w:rsidR="007D5F4F" w:rsidRDefault="007D5F4F" w:rsidP="007E0F1E">
            <w:pPr>
              <w:pStyle w:val="GTBesedilo"/>
            </w:pPr>
          </w:p>
        </w:tc>
      </w:tr>
      <w:tr w:rsidR="007D5F4F" w14:paraId="12C60FA8" w14:textId="77777777" w:rsidTr="007E0F1E">
        <w:tc>
          <w:tcPr>
            <w:tcW w:w="5103" w:type="dxa"/>
            <w:tcBorders>
              <w:top w:val="single" w:sz="4" w:space="0" w:color="auto"/>
            </w:tcBorders>
          </w:tcPr>
          <w:p w14:paraId="685D17DA" w14:textId="661AC7BA" w:rsidR="007D5F4F" w:rsidRDefault="00476FBA" w:rsidP="007E0F1E">
            <w:pPr>
              <w:pStyle w:val="GTBesedilo"/>
            </w:pPr>
            <w:r>
              <w:rPr>
                <w:noProof/>
              </w:rPr>
              <w:drawing>
                <wp:inline distT="0" distB="0" distL="0" distR="0" wp14:anchorId="1A40A934" wp14:editId="2C6D1977">
                  <wp:extent cx="3124800" cy="2401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800" cy="240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5668EFD8" w14:textId="3C417510" w:rsidR="007D5F4F" w:rsidRDefault="00506A6D" w:rsidP="007E0F1E">
            <w:pPr>
              <w:pStyle w:val="GTBesedilo"/>
            </w:pPr>
            <w:proofErr w:type="spellStart"/>
            <w:r w:rsidRPr="00EB0CAF">
              <w:rPr>
                <w:b/>
                <w:bCs/>
              </w:rPr>
              <w:t>Slovenian</w:t>
            </w:r>
            <w:proofErr w:type="spellEnd"/>
            <w:r w:rsidRPr="00EB0CAF">
              <w:rPr>
                <w:b/>
                <w:bCs/>
              </w:rPr>
              <w:t xml:space="preserve"> </w:t>
            </w:r>
            <w:proofErr w:type="spellStart"/>
            <w:r w:rsidRPr="00EB0CAF">
              <w:rPr>
                <w:b/>
                <w:bCs/>
              </w:rPr>
              <w:t>industrial</w:t>
            </w:r>
            <w:proofErr w:type="spellEnd"/>
            <w:r w:rsidRPr="00EB0CAF">
              <w:rPr>
                <w:b/>
                <w:bCs/>
              </w:rPr>
              <w:t xml:space="preserve"> </w:t>
            </w:r>
            <w:proofErr w:type="spellStart"/>
            <w:r w:rsidRPr="00EB0CAF">
              <w:rPr>
                <w:b/>
                <w:bCs/>
              </w:rPr>
              <w:t>producer</w:t>
            </w:r>
            <w:proofErr w:type="spellEnd"/>
            <w:r w:rsidRPr="00EB0CAF">
              <w:rPr>
                <w:b/>
                <w:bCs/>
              </w:rPr>
              <w:t xml:space="preserve"> </w:t>
            </w:r>
            <w:proofErr w:type="spellStart"/>
            <w:r w:rsidRPr="00EB0CAF">
              <w:rPr>
                <w:b/>
                <w:bCs/>
              </w:rPr>
              <w:t>prices</w:t>
            </w:r>
            <w:proofErr w:type="spellEnd"/>
            <w:r w:rsidRPr="00EB0CAF">
              <w:rPr>
                <w:b/>
                <w:bCs/>
              </w:rPr>
              <w:t xml:space="preserve"> </w:t>
            </w:r>
            <w:proofErr w:type="spellStart"/>
            <w:r w:rsidRPr="00EB0CAF">
              <w:rPr>
                <w:b/>
                <w:bCs/>
              </w:rPr>
              <w:t>remained</w:t>
            </w:r>
            <w:proofErr w:type="spellEnd"/>
            <w:r w:rsidRPr="00EB0CAF">
              <w:rPr>
                <w:b/>
                <w:bCs/>
              </w:rPr>
              <w:t xml:space="preserve"> </w:t>
            </w:r>
            <w:proofErr w:type="spellStart"/>
            <w:r w:rsidRPr="00EB0CAF">
              <w:rPr>
                <w:b/>
                <w:bCs/>
              </w:rPr>
              <w:t>unchanged</w:t>
            </w:r>
            <w:proofErr w:type="spellEnd"/>
            <w:r w:rsidRPr="00EB0CAF">
              <w:rPr>
                <w:b/>
                <w:bCs/>
              </w:rPr>
              <w:t xml:space="preserve"> in </w:t>
            </w:r>
            <w:proofErr w:type="spellStart"/>
            <w:r w:rsidRPr="00EB0CAF">
              <w:rPr>
                <w:b/>
                <w:bCs/>
              </w:rPr>
              <w:t>May</w:t>
            </w:r>
            <w:proofErr w:type="spellEnd"/>
            <w:r w:rsidRPr="00EB0CAF">
              <w:rPr>
                <w:b/>
                <w:bCs/>
              </w:rPr>
              <w:t xml:space="preserve">, </w:t>
            </w:r>
            <w:proofErr w:type="spellStart"/>
            <w:r w:rsidRPr="00EB0CAF">
              <w:rPr>
                <w:b/>
                <w:bCs/>
              </w:rPr>
              <w:t>with</w:t>
            </w:r>
            <w:proofErr w:type="spellEnd"/>
            <w:r w:rsidRPr="00EB0CAF">
              <w:rPr>
                <w:b/>
                <w:bCs/>
              </w:rPr>
              <w:t xml:space="preserve"> </w:t>
            </w:r>
            <w:proofErr w:type="spellStart"/>
            <w:r w:rsidRPr="00EB0CAF">
              <w:rPr>
                <w:b/>
                <w:bCs/>
              </w:rPr>
              <w:t>the</w:t>
            </w:r>
            <w:proofErr w:type="spellEnd"/>
            <w:r w:rsidRPr="00EB0CAF">
              <w:rPr>
                <w:b/>
                <w:bCs/>
              </w:rPr>
              <w:t xml:space="preserve"> </w:t>
            </w:r>
            <w:proofErr w:type="spellStart"/>
            <w:r w:rsidRPr="00EB0CAF">
              <w:rPr>
                <w:b/>
                <w:bCs/>
              </w:rPr>
              <w:t>year</w:t>
            </w:r>
            <w:proofErr w:type="spellEnd"/>
            <w:r w:rsidRPr="00EB0CAF">
              <w:rPr>
                <w:b/>
                <w:bCs/>
              </w:rPr>
              <w:t>-on-</w:t>
            </w:r>
            <w:proofErr w:type="spellStart"/>
            <w:r w:rsidRPr="00EB0CAF">
              <w:rPr>
                <w:b/>
                <w:bCs/>
              </w:rPr>
              <w:t>year</w:t>
            </w:r>
            <w:proofErr w:type="spellEnd"/>
            <w:r w:rsidRPr="00EB0CAF">
              <w:rPr>
                <w:b/>
                <w:bCs/>
              </w:rPr>
              <w:t xml:space="preserve"> </w:t>
            </w:r>
            <w:proofErr w:type="spellStart"/>
            <w:r w:rsidRPr="00EB0CAF">
              <w:rPr>
                <w:b/>
                <w:bCs/>
              </w:rPr>
              <w:t>decline</w:t>
            </w:r>
            <w:proofErr w:type="spellEnd"/>
            <w:r w:rsidRPr="00EB0CAF">
              <w:rPr>
                <w:b/>
                <w:bCs/>
              </w:rPr>
              <w:t xml:space="preserve"> </w:t>
            </w:r>
            <w:proofErr w:type="spellStart"/>
            <w:r w:rsidRPr="00EB0CAF">
              <w:rPr>
                <w:b/>
                <w:bCs/>
              </w:rPr>
              <w:t>continuing</w:t>
            </w:r>
            <w:proofErr w:type="spellEnd"/>
            <w:r w:rsidRPr="00EB0CAF">
              <w:rPr>
                <w:b/>
                <w:bCs/>
              </w:rPr>
              <w:t xml:space="preserve"> to </w:t>
            </w:r>
            <w:proofErr w:type="spellStart"/>
            <w:r w:rsidRPr="00EB0CAF">
              <w:rPr>
                <w:b/>
                <w:bCs/>
              </w:rPr>
              <w:t>slow</w:t>
            </w:r>
            <w:proofErr w:type="spellEnd"/>
            <w:r w:rsidRPr="00EB0CAF">
              <w:rPr>
                <w:b/>
                <w:bCs/>
              </w:rPr>
              <w:t xml:space="preserve"> </w:t>
            </w:r>
            <w:proofErr w:type="spellStart"/>
            <w:r w:rsidRPr="00EB0CAF">
              <w:rPr>
                <w:b/>
                <w:bCs/>
              </w:rPr>
              <w:t>slightly</w:t>
            </w:r>
            <w:proofErr w:type="spellEnd"/>
            <w:r w:rsidRPr="00EB0CAF">
              <w:rPr>
                <w:b/>
                <w:bCs/>
              </w:rPr>
              <w:t xml:space="preserve"> (-2.4%).</w:t>
            </w:r>
            <w:r w:rsidRPr="00EB0CAF">
              <w:rPr>
                <w:b/>
              </w:rPr>
              <w:t xml:space="preserve"> </w:t>
            </w:r>
            <w:proofErr w:type="spellStart"/>
            <w:r w:rsidRPr="00EB0CAF">
              <w:t>The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slowdown</w:t>
            </w:r>
            <w:proofErr w:type="spellEnd"/>
            <w:r w:rsidRPr="00EB0CAF">
              <w:t xml:space="preserve"> in </w:t>
            </w:r>
            <w:proofErr w:type="spellStart"/>
            <w:r w:rsidRPr="00EB0CAF">
              <w:t>the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year</w:t>
            </w:r>
            <w:proofErr w:type="spellEnd"/>
            <w:r w:rsidRPr="00EB0CAF">
              <w:t>-on-</w:t>
            </w:r>
            <w:proofErr w:type="spellStart"/>
            <w:r w:rsidRPr="00EB0CAF">
              <w:t>year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decline</w:t>
            </w:r>
            <w:proofErr w:type="spellEnd"/>
            <w:r w:rsidRPr="00EB0CAF">
              <w:t xml:space="preserve"> in </w:t>
            </w:r>
            <w:proofErr w:type="spellStart"/>
            <w:r w:rsidRPr="00EB0CAF">
              <w:t>May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was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mainly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due</w:t>
            </w:r>
            <w:proofErr w:type="spellEnd"/>
            <w:r w:rsidRPr="00EB0CAF">
              <w:t xml:space="preserve"> to a </w:t>
            </w:r>
            <w:proofErr w:type="spellStart"/>
            <w:r w:rsidRPr="00EB0CAF">
              <w:t>deceleration</w:t>
            </w:r>
            <w:proofErr w:type="spellEnd"/>
            <w:r w:rsidRPr="00EB0CAF">
              <w:t xml:space="preserve"> in </w:t>
            </w:r>
            <w:proofErr w:type="spellStart"/>
            <w:r w:rsidRPr="00EB0CAF">
              <w:t>the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decline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of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prices</w:t>
            </w:r>
            <w:proofErr w:type="spellEnd"/>
            <w:r w:rsidRPr="00EB0CAF">
              <w:t xml:space="preserve"> in </w:t>
            </w:r>
            <w:proofErr w:type="spellStart"/>
            <w:r w:rsidRPr="00EB0CAF">
              <w:t>the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intermediate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goods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group</w:t>
            </w:r>
            <w:proofErr w:type="spellEnd"/>
            <w:r w:rsidRPr="00EB0CAF">
              <w:t xml:space="preserve"> (-4.3%), </w:t>
            </w:r>
            <w:proofErr w:type="spellStart"/>
            <w:r w:rsidRPr="00EB0CAF">
              <w:t>which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was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attributable</w:t>
            </w:r>
            <w:proofErr w:type="spellEnd"/>
            <w:r w:rsidRPr="00EB0CAF">
              <w:t xml:space="preserve"> to </w:t>
            </w:r>
            <w:proofErr w:type="spellStart"/>
            <w:r w:rsidRPr="00EB0CAF">
              <w:t>both</w:t>
            </w:r>
            <w:proofErr w:type="spellEnd"/>
            <w:r w:rsidRPr="00EB0CAF">
              <w:t xml:space="preserve"> a </w:t>
            </w:r>
            <w:proofErr w:type="spellStart"/>
            <w:r w:rsidRPr="00EB0CAF">
              <w:t>higher</w:t>
            </w:r>
            <w:proofErr w:type="spellEnd"/>
            <w:r w:rsidRPr="00EB0CAF">
              <w:t xml:space="preserve"> base </w:t>
            </w:r>
            <w:proofErr w:type="spellStart"/>
            <w:r w:rsidRPr="00EB0CAF">
              <w:t>and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monthly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growth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of</w:t>
            </w:r>
            <w:proofErr w:type="spellEnd"/>
            <w:r w:rsidRPr="00EB0CAF">
              <w:t xml:space="preserve"> 0.6%. </w:t>
            </w:r>
            <w:proofErr w:type="spellStart"/>
            <w:r w:rsidRPr="00EB0CAF">
              <w:t>Energy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prices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were</w:t>
            </w:r>
            <w:proofErr w:type="spellEnd"/>
            <w:r w:rsidRPr="00EB0CAF">
              <w:t xml:space="preserve"> 11% </w:t>
            </w:r>
            <w:proofErr w:type="spellStart"/>
            <w:r w:rsidRPr="00EB0CAF">
              <w:t>lower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year</w:t>
            </w:r>
            <w:proofErr w:type="spellEnd"/>
            <w:r w:rsidRPr="00EB0CAF">
              <w:t>-on-</w:t>
            </w:r>
            <w:proofErr w:type="spellStart"/>
            <w:r w:rsidRPr="00EB0CAF">
              <w:t>year</w:t>
            </w:r>
            <w:proofErr w:type="spellEnd"/>
            <w:r w:rsidRPr="00EB0CAF">
              <w:t xml:space="preserve">, </w:t>
            </w:r>
            <w:proofErr w:type="spellStart"/>
            <w:r w:rsidRPr="00EB0CAF">
              <w:t>mainly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due</w:t>
            </w:r>
            <w:proofErr w:type="spellEnd"/>
            <w:r w:rsidRPr="00EB0CAF">
              <w:t xml:space="preserve"> to </w:t>
            </w:r>
            <w:proofErr w:type="spellStart"/>
            <w:r w:rsidRPr="00EB0CAF">
              <w:t>lower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prices</w:t>
            </w:r>
            <w:proofErr w:type="spellEnd"/>
            <w:r w:rsidRPr="00EB0CAF">
              <w:t xml:space="preserve"> in </w:t>
            </w:r>
            <w:proofErr w:type="spellStart"/>
            <w:r w:rsidRPr="00EB0CAF">
              <w:t>electricity</w:t>
            </w:r>
            <w:proofErr w:type="spellEnd"/>
            <w:r w:rsidRPr="00EB0CAF">
              <w:t xml:space="preserve">, gas </w:t>
            </w:r>
            <w:proofErr w:type="spellStart"/>
            <w:r w:rsidRPr="00EB0CAF">
              <w:t>and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steam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supply</w:t>
            </w:r>
            <w:proofErr w:type="spellEnd"/>
            <w:r w:rsidRPr="00EB0CAF">
              <w:t xml:space="preserve"> (-15.8%). </w:t>
            </w:r>
            <w:proofErr w:type="spellStart"/>
            <w:r w:rsidRPr="00EB0CAF">
              <w:t>Price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growth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for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capital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goods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remained</w:t>
            </w:r>
            <w:proofErr w:type="spellEnd"/>
            <w:r w:rsidRPr="00EB0CAF">
              <w:t xml:space="preserve"> at </w:t>
            </w:r>
            <w:proofErr w:type="spellStart"/>
            <w:r w:rsidRPr="00EB0CAF">
              <w:t>around</w:t>
            </w:r>
            <w:proofErr w:type="spellEnd"/>
            <w:r w:rsidRPr="00EB0CAF">
              <w:t xml:space="preserve"> 0.5% </w:t>
            </w:r>
            <w:proofErr w:type="spellStart"/>
            <w:r w:rsidRPr="00EB0CAF">
              <w:t>year</w:t>
            </w:r>
            <w:proofErr w:type="spellEnd"/>
            <w:r w:rsidRPr="00EB0CAF">
              <w:t>-on-</w:t>
            </w:r>
            <w:proofErr w:type="spellStart"/>
            <w:r w:rsidRPr="00EB0CAF">
              <w:t>year</w:t>
            </w:r>
            <w:proofErr w:type="spellEnd"/>
            <w:r w:rsidRPr="00EB0CAF">
              <w:t xml:space="preserve">, </w:t>
            </w:r>
            <w:proofErr w:type="spellStart"/>
            <w:r w:rsidRPr="00EB0CAF">
              <w:t>while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prices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of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consumer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goods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continued</w:t>
            </w:r>
            <w:proofErr w:type="spellEnd"/>
            <w:r w:rsidRPr="00EB0CAF">
              <w:t xml:space="preserve"> to rise </w:t>
            </w:r>
            <w:proofErr w:type="spellStart"/>
            <w:r w:rsidRPr="00EB0CAF">
              <w:t>by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around</w:t>
            </w:r>
            <w:proofErr w:type="spellEnd"/>
            <w:r w:rsidRPr="00EB0CAF">
              <w:t xml:space="preserve"> 1%. </w:t>
            </w:r>
            <w:proofErr w:type="spellStart"/>
            <w:r w:rsidRPr="00EB0CAF">
              <w:t>Industrial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producer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prices</w:t>
            </w:r>
            <w:proofErr w:type="spellEnd"/>
            <w:r w:rsidRPr="00EB0CAF">
              <w:t xml:space="preserve"> on </w:t>
            </w:r>
            <w:proofErr w:type="spellStart"/>
            <w:r w:rsidRPr="00EB0CAF">
              <w:t>the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domestic</w:t>
            </w:r>
            <w:proofErr w:type="spellEnd"/>
            <w:r w:rsidRPr="00EB0CAF">
              <w:t xml:space="preserve"> market </w:t>
            </w:r>
            <w:proofErr w:type="spellStart"/>
            <w:r w:rsidRPr="00EB0CAF">
              <w:t>were</w:t>
            </w:r>
            <w:proofErr w:type="spellEnd"/>
            <w:r w:rsidRPr="00EB0CAF">
              <w:t xml:space="preserve"> 3.0% </w:t>
            </w:r>
            <w:proofErr w:type="spellStart"/>
            <w:r w:rsidRPr="00EB0CAF">
              <w:t>lower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year</w:t>
            </w:r>
            <w:proofErr w:type="spellEnd"/>
            <w:r w:rsidRPr="00EB0CAF">
              <w:t>-on-</w:t>
            </w:r>
            <w:proofErr w:type="spellStart"/>
            <w:r w:rsidRPr="00EB0CAF">
              <w:t>year</w:t>
            </w:r>
            <w:proofErr w:type="spellEnd"/>
            <w:r w:rsidRPr="00EB0CAF">
              <w:t xml:space="preserve">. </w:t>
            </w:r>
            <w:proofErr w:type="spellStart"/>
            <w:r w:rsidRPr="00EB0CAF">
              <w:t>The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decline</w:t>
            </w:r>
            <w:proofErr w:type="spellEnd"/>
            <w:r w:rsidRPr="00EB0CAF">
              <w:t xml:space="preserve"> on </w:t>
            </w:r>
            <w:proofErr w:type="spellStart"/>
            <w:r w:rsidRPr="00EB0CAF">
              <w:t>foreign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markets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was</w:t>
            </w:r>
            <w:proofErr w:type="spellEnd"/>
            <w:r w:rsidRPr="00EB0CAF">
              <w:t xml:space="preserve"> 1.8%.</w:t>
            </w:r>
          </w:p>
        </w:tc>
      </w:tr>
    </w:tbl>
    <w:p w14:paraId="7A0D36B6" w14:textId="77777777" w:rsidR="00363E63" w:rsidRDefault="00363E63" w:rsidP="001F51CD">
      <w:pPr>
        <w:tabs>
          <w:tab w:val="left" w:pos="580"/>
        </w:tabs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536"/>
      </w:tblGrid>
      <w:tr w:rsidR="007D5F4F" w14:paraId="51B9A96D" w14:textId="77777777" w:rsidTr="007E0F1E">
        <w:tc>
          <w:tcPr>
            <w:tcW w:w="5103" w:type="dxa"/>
            <w:tcBorders>
              <w:bottom w:val="single" w:sz="4" w:space="0" w:color="auto"/>
            </w:tcBorders>
          </w:tcPr>
          <w:p w14:paraId="54DF99B7" w14:textId="4B5576FB" w:rsidR="007D5F4F" w:rsidRDefault="00476FBA" w:rsidP="007E0F1E">
            <w:pPr>
              <w:pStyle w:val="GTNaslovgrafa"/>
            </w:pPr>
            <w:proofErr w:type="spellStart"/>
            <w:r w:rsidRPr="00EB0CAF">
              <w:t>Turnover</w:t>
            </w:r>
            <w:proofErr w:type="spellEnd"/>
            <w:r w:rsidRPr="00EB0CAF">
              <w:t xml:space="preserve"> in </w:t>
            </w:r>
            <w:proofErr w:type="spellStart"/>
            <w:r w:rsidRPr="00EB0CAF">
              <w:t>trade</w:t>
            </w:r>
            <w:proofErr w:type="spellEnd"/>
            <w:r w:rsidRPr="00EB0CAF">
              <w:t>, April–</w:t>
            </w:r>
            <w:proofErr w:type="spellStart"/>
            <w:r w:rsidRPr="00EB0CAF">
              <w:t>May</w:t>
            </w:r>
            <w:proofErr w:type="spellEnd"/>
            <w:r w:rsidRPr="00EB0CAF">
              <w:t xml:space="preserve"> 2024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118DBEC" w14:textId="77777777" w:rsidR="007D5F4F" w:rsidRDefault="007D5F4F" w:rsidP="007E0F1E">
            <w:pPr>
              <w:pStyle w:val="GTBesedilo"/>
            </w:pPr>
          </w:p>
        </w:tc>
      </w:tr>
      <w:tr w:rsidR="007D5F4F" w14:paraId="1E241599" w14:textId="77777777" w:rsidTr="007E0F1E">
        <w:tc>
          <w:tcPr>
            <w:tcW w:w="5103" w:type="dxa"/>
            <w:tcBorders>
              <w:top w:val="single" w:sz="4" w:space="0" w:color="auto"/>
            </w:tcBorders>
          </w:tcPr>
          <w:p w14:paraId="5AA59961" w14:textId="25C500F5" w:rsidR="007D5F4F" w:rsidRDefault="00476FBA" w:rsidP="007E0F1E">
            <w:pPr>
              <w:pStyle w:val="GTBesedilo"/>
            </w:pPr>
            <w:r>
              <w:rPr>
                <w:noProof/>
              </w:rPr>
              <w:drawing>
                <wp:inline distT="0" distB="0" distL="0" distR="0" wp14:anchorId="164FC398" wp14:editId="11C287B4">
                  <wp:extent cx="3157200" cy="2296800"/>
                  <wp:effectExtent l="0" t="0" r="5715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7200" cy="229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DFA15D4" w14:textId="269619F8" w:rsidR="007D5F4F" w:rsidRDefault="00506A6D" w:rsidP="007E0F1E">
            <w:pPr>
              <w:pStyle w:val="GTBesedilo"/>
            </w:pPr>
            <w:r w:rsidRPr="00EB0CAF">
              <w:rPr>
                <w:b/>
                <w:shd w:val="clear" w:color="auto" w:fill="FFFFFF"/>
              </w:rPr>
              <w:t xml:space="preserve">In April, real </w:t>
            </w:r>
            <w:proofErr w:type="spellStart"/>
            <w:r w:rsidRPr="00EB0CAF">
              <w:rPr>
                <w:b/>
                <w:shd w:val="clear" w:color="auto" w:fill="FFFFFF"/>
              </w:rPr>
              <w:t>turnover</w:t>
            </w:r>
            <w:proofErr w:type="spellEnd"/>
            <w:r w:rsidRPr="00EB0CAF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EB0CAF">
              <w:rPr>
                <w:b/>
                <w:shd w:val="clear" w:color="auto" w:fill="FFFFFF"/>
              </w:rPr>
              <w:t>increased</w:t>
            </w:r>
            <w:proofErr w:type="spellEnd"/>
            <w:r w:rsidRPr="00EB0CAF">
              <w:rPr>
                <w:b/>
                <w:shd w:val="clear" w:color="auto" w:fill="FFFFFF"/>
              </w:rPr>
              <w:t xml:space="preserve"> in most </w:t>
            </w:r>
            <w:proofErr w:type="spellStart"/>
            <w:r w:rsidRPr="00EB0CAF">
              <w:rPr>
                <w:b/>
                <w:shd w:val="clear" w:color="auto" w:fill="FFFFFF"/>
              </w:rPr>
              <w:t>trade</w:t>
            </w:r>
            <w:proofErr w:type="spellEnd"/>
            <w:r w:rsidRPr="00EB0CAF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EB0CAF">
              <w:rPr>
                <w:b/>
                <w:shd w:val="clear" w:color="auto" w:fill="FFFFFF"/>
              </w:rPr>
              <w:t>sectors</w:t>
            </w:r>
            <w:proofErr w:type="spellEnd"/>
            <w:r w:rsidRPr="00EB0CAF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EB0CAF">
              <w:rPr>
                <w:b/>
                <w:shd w:val="clear" w:color="auto" w:fill="FFFFFF"/>
              </w:rPr>
              <w:t>and</w:t>
            </w:r>
            <w:proofErr w:type="spellEnd"/>
            <w:r w:rsidRPr="00EB0CAF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EB0CAF">
              <w:rPr>
                <w:b/>
                <w:shd w:val="clear" w:color="auto" w:fill="FFFFFF"/>
              </w:rPr>
              <w:t>was</w:t>
            </w:r>
            <w:proofErr w:type="spellEnd"/>
            <w:r w:rsidRPr="00EB0CAF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EB0CAF">
              <w:rPr>
                <w:b/>
                <w:shd w:val="clear" w:color="auto" w:fill="FFFFFF"/>
              </w:rPr>
              <w:t>also</w:t>
            </w:r>
            <w:proofErr w:type="spellEnd"/>
            <w:r w:rsidRPr="00EB0CAF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EB0CAF">
              <w:rPr>
                <w:b/>
                <w:shd w:val="clear" w:color="auto" w:fill="FFFFFF"/>
              </w:rPr>
              <w:t>higher</w:t>
            </w:r>
            <w:proofErr w:type="spellEnd"/>
            <w:r w:rsidRPr="00EB0CAF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EB0CAF">
              <w:rPr>
                <w:b/>
                <w:shd w:val="clear" w:color="auto" w:fill="FFFFFF"/>
              </w:rPr>
              <w:t>year</w:t>
            </w:r>
            <w:proofErr w:type="spellEnd"/>
            <w:r w:rsidRPr="00EB0CAF">
              <w:rPr>
                <w:b/>
                <w:shd w:val="clear" w:color="auto" w:fill="FFFFFF"/>
              </w:rPr>
              <w:t>-on-</w:t>
            </w:r>
            <w:proofErr w:type="spellStart"/>
            <w:r w:rsidRPr="00EB0CAF">
              <w:rPr>
                <w:b/>
                <w:shd w:val="clear" w:color="auto" w:fill="FFFFFF"/>
              </w:rPr>
              <w:t>year</w:t>
            </w:r>
            <w:proofErr w:type="spellEnd"/>
            <w:r w:rsidRPr="00EB0CAF">
              <w:rPr>
                <w:b/>
                <w:shd w:val="clear" w:color="auto" w:fill="FFFFFF"/>
              </w:rPr>
              <w:t xml:space="preserve">. </w:t>
            </w:r>
            <w:proofErr w:type="spellStart"/>
            <w:r w:rsidRPr="00EB0CAF">
              <w:t>Turnover</w:t>
            </w:r>
            <w:proofErr w:type="spellEnd"/>
            <w:r w:rsidRPr="00EB0CAF">
              <w:t xml:space="preserve"> in </w:t>
            </w:r>
            <w:proofErr w:type="spellStart"/>
            <w:r w:rsidRPr="00EB0CAF">
              <w:t>the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sales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of</w:t>
            </w:r>
            <w:proofErr w:type="spellEnd"/>
            <w:r w:rsidRPr="00EB0CAF">
              <w:t xml:space="preserve"> motor </w:t>
            </w:r>
            <w:proofErr w:type="spellStart"/>
            <w:r w:rsidRPr="00EB0CAF">
              <w:t>vehicles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was</w:t>
            </w:r>
            <w:proofErr w:type="spellEnd"/>
            <w:r w:rsidRPr="00EB0CAF">
              <w:t xml:space="preserve"> a </w:t>
            </w:r>
            <w:proofErr w:type="spellStart"/>
            <w:r w:rsidRPr="00EB0CAF">
              <w:t>good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fifth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higher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year</w:t>
            </w:r>
            <w:proofErr w:type="spellEnd"/>
            <w:r w:rsidRPr="00EB0CAF">
              <w:t>-on-</w:t>
            </w:r>
            <w:proofErr w:type="spellStart"/>
            <w:r w:rsidRPr="00EB0CAF">
              <w:t>year</w:t>
            </w:r>
            <w:proofErr w:type="spellEnd"/>
            <w:r w:rsidRPr="00EB0CAF">
              <w:t xml:space="preserve"> in April.</w:t>
            </w:r>
            <w:r w:rsidRPr="00EB0CAF">
              <w:rPr>
                <w:rStyle w:val="A0"/>
              </w:rPr>
              <w:t xml:space="preserve"> </w:t>
            </w:r>
            <w:proofErr w:type="spellStart"/>
            <w:r w:rsidRPr="00EB0CAF">
              <w:rPr>
                <w:rStyle w:val="A0"/>
              </w:rPr>
              <w:t>After</w:t>
            </w:r>
            <w:proofErr w:type="spellEnd"/>
            <w:r w:rsidRPr="00EB0CAF">
              <w:rPr>
                <w:rStyle w:val="A0"/>
              </w:rPr>
              <w:t xml:space="preserve"> </w:t>
            </w:r>
            <w:proofErr w:type="spellStart"/>
            <w:r w:rsidRPr="00EB0CAF">
              <w:rPr>
                <w:rStyle w:val="A0"/>
              </w:rPr>
              <w:t>high</w:t>
            </w:r>
            <w:proofErr w:type="spellEnd"/>
            <w:r w:rsidRPr="00EB0CAF">
              <w:rPr>
                <w:rStyle w:val="A0"/>
              </w:rPr>
              <w:t xml:space="preserve"> </w:t>
            </w:r>
            <w:proofErr w:type="spellStart"/>
            <w:r w:rsidRPr="00EB0CAF">
              <w:rPr>
                <w:rStyle w:val="A0"/>
              </w:rPr>
              <w:t>growth</w:t>
            </w:r>
            <w:proofErr w:type="spellEnd"/>
            <w:r w:rsidRPr="00EB0CAF">
              <w:rPr>
                <w:rStyle w:val="A0"/>
              </w:rPr>
              <w:t xml:space="preserve"> last </w:t>
            </w:r>
            <w:proofErr w:type="spellStart"/>
            <w:r w:rsidRPr="00EB0CAF">
              <w:rPr>
                <w:rStyle w:val="A0"/>
              </w:rPr>
              <w:t>year</w:t>
            </w:r>
            <w:proofErr w:type="spellEnd"/>
            <w:r w:rsidRPr="00EB0CAF">
              <w:rPr>
                <w:rStyle w:val="A0"/>
              </w:rPr>
              <w:t xml:space="preserve">, it </w:t>
            </w:r>
            <w:proofErr w:type="spellStart"/>
            <w:r w:rsidRPr="00EB0CAF">
              <w:rPr>
                <w:rStyle w:val="A0"/>
              </w:rPr>
              <w:t>declined</w:t>
            </w:r>
            <w:proofErr w:type="spellEnd"/>
            <w:r w:rsidRPr="00EB0CAF">
              <w:rPr>
                <w:rStyle w:val="A0"/>
              </w:rPr>
              <w:t xml:space="preserve"> </w:t>
            </w:r>
            <w:proofErr w:type="spellStart"/>
            <w:r w:rsidRPr="00EB0CAF">
              <w:rPr>
                <w:rStyle w:val="A0"/>
              </w:rPr>
              <w:t>month</w:t>
            </w:r>
            <w:proofErr w:type="spellEnd"/>
            <w:r w:rsidRPr="00EB0CAF">
              <w:rPr>
                <w:rStyle w:val="A0"/>
              </w:rPr>
              <w:t>-on-</w:t>
            </w:r>
            <w:proofErr w:type="spellStart"/>
            <w:r w:rsidRPr="00EB0CAF">
              <w:rPr>
                <w:rStyle w:val="A0"/>
              </w:rPr>
              <w:t>month</w:t>
            </w:r>
            <w:proofErr w:type="spellEnd"/>
            <w:r w:rsidRPr="00EB0CAF">
              <w:rPr>
                <w:rStyle w:val="A0"/>
              </w:rPr>
              <w:t xml:space="preserve"> in </w:t>
            </w:r>
            <w:proofErr w:type="spellStart"/>
            <w:r w:rsidRPr="00EB0CAF">
              <w:rPr>
                <w:rStyle w:val="A0"/>
              </w:rPr>
              <w:t>the</w:t>
            </w:r>
            <w:proofErr w:type="spellEnd"/>
            <w:r w:rsidRPr="00EB0CAF">
              <w:rPr>
                <w:rStyle w:val="A0"/>
              </w:rPr>
              <w:t xml:space="preserve"> </w:t>
            </w:r>
            <w:proofErr w:type="spellStart"/>
            <w:r w:rsidRPr="00EB0CAF">
              <w:rPr>
                <w:rStyle w:val="A0"/>
              </w:rPr>
              <w:t>first</w:t>
            </w:r>
            <w:proofErr w:type="spellEnd"/>
            <w:r w:rsidRPr="00EB0CAF">
              <w:rPr>
                <w:rStyle w:val="A0"/>
              </w:rPr>
              <w:t xml:space="preserve"> </w:t>
            </w:r>
            <w:proofErr w:type="spellStart"/>
            <w:r w:rsidRPr="00EB0CAF">
              <w:rPr>
                <w:rStyle w:val="A0"/>
              </w:rPr>
              <w:t>quarter</w:t>
            </w:r>
            <w:proofErr w:type="spellEnd"/>
            <w:r w:rsidRPr="00EB0CAF">
              <w:rPr>
                <w:rStyle w:val="A0"/>
              </w:rPr>
              <w:t xml:space="preserve">. In </w:t>
            </w:r>
            <w:proofErr w:type="spellStart"/>
            <w:r w:rsidRPr="00EB0CAF">
              <w:rPr>
                <w:rStyle w:val="A0"/>
              </w:rPr>
              <w:t>the</w:t>
            </w:r>
            <w:proofErr w:type="spellEnd"/>
            <w:r w:rsidRPr="00EB0CAF">
              <w:rPr>
                <w:rStyle w:val="A0"/>
              </w:rPr>
              <w:t xml:space="preserve"> </w:t>
            </w:r>
            <w:proofErr w:type="spellStart"/>
            <w:r w:rsidRPr="00EB0CAF">
              <w:rPr>
                <w:rStyle w:val="A0"/>
              </w:rPr>
              <w:t>first</w:t>
            </w:r>
            <w:proofErr w:type="spellEnd"/>
            <w:r w:rsidRPr="00EB0CAF">
              <w:rPr>
                <w:rStyle w:val="A0"/>
              </w:rPr>
              <w:t xml:space="preserve"> </w:t>
            </w:r>
            <w:proofErr w:type="spellStart"/>
            <w:r w:rsidRPr="00EB0CAF">
              <w:rPr>
                <w:rStyle w:val="A0"/>
              </w:rPr>
              <w:t>four</w:t>
            </w:r>
            <w:proofErr w:type="spellEnd"/>
            <w:r w:rsidRPr="00EB0CAF">
              <w:rPr>
                <w:rStyle w:val="A0"/>
              </w:rPr>
              <w:t xml:space="preserve"> </w:t>
            </w:r>
            <w:proofErr w:type="spellStart"/>
            <w:r w:rsidRPr="00EB0CAF">
              <w:rPr>
                <w:rStyle w:val="A0"/>
              </w:rPr>
              <w:t>months</w:t>
            </w:r>
            <w:proofErr w:type="spellEnd"/>
            <w:r w:rsidRPr="00EB0CAF">
              <w:rPr>
                <w:rStyle w:val="A0"/>
              </w:rPr>
              <w:t xml:space="preserve">, it </w:t>
            </w:r>
            <w:proofErr w:type="spellStart"/>
            <w:r w:rsidRPr="00EB0CAF">
              <w:rPr>
                <w:rStyle w:val="A0"/>
              </w:rPr>
              <w:t>was</w:t>
            </w:r>
            <w:proofErr w:type="spellEnd"/>
            <w:r w:rsidRPr="00EB0CAF">
              <w:rPr>
                <w:rStyle w:val="A0"/>
              </w:rPr>
              <w:t xml:space="preserve"> more </w:t>
            </w:r>
            <w:proofErr w:type="spellStart"/>
            <w:r w:rsidRPr="00EB0CAF">
              <w:rPr>
                <w:rStyle w:val="A0"/>
              </w:rPr>
              <w:t>than</w:t>
            </w:r>
            <w:proofErr w:type="spellEnd"/>
            <w:r w:rsidRPr="00EB0CAF">
              <w:rPr>
                <w:rStyle w:val="A0"/>
              </w:rPr>
              <w:t xml:space="preserve"> a </w:t>
            </w:r>
            <w:proofErr w:type="spellStart"/>
            <w:r w:rsidRPr="00EB0CAF">
              <w:rPr>
                <w:rStyle w:val="A0"/>
              </w:rPr>
              <w:t>tenth</w:t>
            </w:r>
            <w:proofErr w:type="spellEnd"/>
            <w:r w:rsidRPr="00EB0CAF">
              <w:rPr>
                <w:rStyle w:val="A0"/>
              </w:rPr>
              <w:t xml:space="preserve"> </w:t>
            </w:r>
            <w:proofErr w:type="spellStart"/>
            <w:r w:rsidRPr="00EB0CAF">
              <w:rPr>
                <w:rStyle w:val="A0"/>
              </w:rPr>
              <w:t>higher</w:t>
            </w:r>
            <w:proofErr w:type="spellEnd"/>
            <w:r w:rsidRPr="00EB0CAF">
              <w:rPr>
                <w:rStyle w:val="A0"/>
              </w:rPr>
              <w:t xml:space="preserve"> </w:t>
            </w:r>
            <w:proofErr w:type="spellStart"/>
            <w:r w:rsidRPr="00EB0CAF">
              <w:rPr>
                <w:rStyle w:val="A0"/>
              </w:rPr>
              <w:t>year</w:t>
            </w:r>
            <w:proofErr w:type="spellEnd"/>
            <w:r w:rsidRPr="00EB0CAF">
              <w:rPr>
                <w:rStyle w:val="A0"/>
              </w:rPr>
              <w:t>-on-</w:t>
            </w:r>
            <w:proofErr w:type="spellStart"/>
            <w:r w:rsidRPr="00EB0CAF">
              <w:rPr>
                <w:rStyle w:val="A0"/>
              </w:rPr>
              <w:t>year</w:t>
            </w:r>
            <w:proofErr w:type="spellEnd"/>
            <w:r w:rsidRPr="00EB0CAF">
              <w:rPr>
                <w:rStyle w:val="A0"/>
              </w:rPr>
              <w:t xml:space="preserve">. In April, </w:t>
            </w:r>
            <w:proofErr w:type="spellStart"/>
            <w:r w:rsidRPr="00EB0CAF">
              <w:rPr>
                <w:rStyle w:val="A0"/>
              </w:rPr>
              <w:t>turnover</w:t>
            </w:r>
            <w:proofErr w:type="spellEnd"/>
            <w:r w:rsidRPr="00EB0CAF">
              <w:rPr>
                <w:rStyle w:val="A0"/>
              </w:rPr>
              <w:t xml:space="preserve"> in </w:t>
            </w:r>
            <w:proofErr w:type="spellStart"/>
            <w:r w:rsidRPr="00EB0CAF">
              <w:rPr>
                <w:rStyle w:val="A0"/>
              </w:rPr>
              <w:t>wholesale</w:t>
            </w:r>
            <w:proofErr w:type="spellEnd"/>
            <w:r w:rsidRPr="00EB0CAF">
              <w:rPr>
                <w:rStyle w:val="A0"/>
              </w:rPr>
              <w:t xml:space="preserve"> </w:t>
            </w:r>
            <w:proofErr w:type="spellStart"/>
            <w:r w:rsidRPr="00EB0CAF">
              <w:rPr>
                <w:rStyle w:val="A0"/>
              </w:rPr>
              <w:t>trade</w:t>
            </w:r>
            <w:proofErr w:type="spellEnd"/>
            <w:r w:rsidRPr="00EB0CAF">
              <w:rPr>
                <w:rStyle w:val="A0"/>
              </w:rPr>
              <w:t xml:space="preserve"> rose </w:t>
            </w:r>
            <w:proofErr w:type="spellStart"/>
            <w:r w:rsidRPr="00EB0CAF">
              <w:rPr>
                <w:rStyle w:val="A0"/>
              </w:rPr>
              <w:t>by</w:t>
            </w:r>
            <w:proofErr w:type="spellEnd"/>
            <w:r w:rsidRPr="00EB0CAF">
              <w:rPr>
                <w:rStyle w:val="A0"/>
              </w:rPr>
              <w:t xml:space="preserve"> </w:t>
            </w:r>
            <w:proofErr w:type="spellStart"/>
            <w:r w:rsidRPr="00EB0CAF">
              <w:rPr>
                <w:rStyle w:val="A0"/>
              </w:rPr>
              <w:t>just</w:t>
            </w:r>
            <w:proofErr w:type="spellEnd"/>
            <w:r w:rsidRPr="00EB0CAF">
              <w:rPr>
                <w:rStyle w:val="A0"/>
              </w:rPr>
              <w:t xml:space="preserve"> </w:t>
            </w:r>
            <w:proofErr w:type="spellStart"/>
            <w:r w:rsidRPr="00EB0CAF">
              <w:rPr>
                <w:rStyle w:val="A0"/>
              </w:rPr>
              <w:t>over</w:t>
            </w:r>
            <w:proofErr w:type="spellEnd"/>
            <w:r w:rsidRPr="00EB0CAF">
              <w:rPr>
                <w:rStyle w:val="A0"/>
              </w:rPr>
              <w:t xml:space="preserve"> a </w:t>
            </w:r>
            <w:proofErr w:type="spellStart"/>
            <w:r w:rsidRPr="00EB0CAF">
              <w:rPr>
                <w:rStyle w:val="A0"/>
              </w:rPr>
              <w:t>tenth</w:t>
            </w:r>
            <w:proofErr w:type="spellEnd"/>
            <w:r w:rsidRPr="00EB0CAF">
              <w:rPr>
                <w:rStyle w:val="A0"/>
              </w:rPr>
              <w:t xml:space="preserve"> </w:t>
            </w:r>
            <w:proofErr w:type="spellStart"/>
            <w:r w:rsidRPr="00EB0CAF">
              <w:rPr>
                <w:rStyle w:val="A0"/>
              </w:rPr>
              <w:t>compared</w:t>
            </w:r>
            <w:proofErr w:type="spellEnd"/>
            <w:r w:rsidRPr="00EB0CAF">
              <w:rPr>
                <w:rStyle w:val="A0"/>
              </w:rPr>
              <w:t xml:space="preserve"> to </w:t>
            </w:r>
            <w:proofErr w:type="spellStart"/>
            <w:r w:rsidRPr="00EB0CAF">
              <w:rPr>
                <w:rStyle w:val="A0"/>
              </w:rPr>
              <w:t>the</w:t>
            </w:r>
            <w:proofErr w:type="spellEnd"/>
            <w:r w:rsidRPr="00EB0CAF">
              <w:rPr>
                <w:rStyle w:val="A0"/>
              </w:rPr>
              <w:t xml:space="preserve"> </w:t>
            </w:r>
            <w:proofErr w:type="spellStart"/>
            <w:r w:rsidRPr="00EB0CAF">
              <w:rPr>
                <w:rStyle w:val="A0"/>
              </w:rPr>
              <w:t>previous</w:t>
            </w:r>
            <w:proofErr w:type="spellEnd"/>
            <w:r w:rsidRPr="00EB0CAF">
              <w:rPr>
                <w:rStyle w:val="A0"/>
              </w:rPr>
              <w:t xml:space="preserve"> </w:t>
            </w:r>
            <w:proofErr w:type="spellStart"/>
            <w:r w:rsidRPr="00EB0CAF">
              <w:rPr>
                <w:rStyle w:val="A0"/>
              </w:rPr>
              <w:t>year</w:t>
            </w:r>
            <w:proofErr w:type="spellEnd"/>
            <w:r w:rsidRPr="00EB0CAF">
              <w:rPr>
                <w:rStyle w:val="A0"/>
              </w:rPr>
              <w:t xml:space="preserve"> </w:t>
            </w:r>
            <w:proofErr w:type="spellStart"/>
            <w:r w:rsidRPr="00EB0CAF">
              <w:rPr>
                <w:rStyle w:val="A0"/>
              </w:rPr>
              <w:t>and</w:t>
            </w:r>
            <w:proofErr w:type="spellEnd"/>
            <w:r w:rsidRPr="00EB0CAF">
              <w:rPr>
                <w:rStyle w:val="A0"/>
              </w:rPr>
              <w:t xml:space="preserve"> </w:t>
            </w:r>
            <w:proofErr w:type="spellStart"/>
            <w:r w:rsidRPr="00EB0CAF">
              <w:rPr>
                <w:rStyle w:val="A0"/>
              </w:rPr>
              <w:t>by</w:t>
            </w:r>
            <w:proofErr w:type="spellEnd"/>
            <w:r w:rsidRPr="00EB0CAF">
              <w:rPr>
                <w:rStyle w:val="A0"/>
              </w:rPr>
              <w:t xml:space="preserve"> 1% in </w:t>
            </w:r>
            <w:proofErr w:type="spellStart"/>
            <w:r w:rsidRPr="00EB0CAF">
              <w:rPr>
                <w:rStyle w:val="A0"/>
              </w:rPr>
              <w:t>the</w:t>
            </w:r>
            <w:proofErr w:type="spellEnd"/>
            <w:r w:rsidRPr="00EB0CAF">
              <w:rPr>
                <w:rStyle w:val="A0"/>
              </w:rPr>
              <w:t xml:space="preserve"> </w:t>
            </w:r>
            <w:proofErr w:type="spellStart"/>
            <w:r w:rsidRPr="00EB0CAF">
              <w:rPr>
                <w:rStyle w:val="A0"/>
              </w:rPr>
              <w:t>first</w:t>
            </w:r>
            <w:proofErr w:type="spellEnd"/>
            <w:r w:rsidRPr="00EB0CAF">
              <w:rPr>
                <w:rStyle w:val="A0"/>
              </w:rPr>
              <w:t xml:space="preserve"> </w:t>
            </w:r>
            <w:proofErr w:type="spellStart"/>
            <w:r w:rsidRPr="00EB0CAF">
              <w:rPr>
                <w:rStyle w:val="A0"/>
              </w:rPr>
              <w:t>four</w:t>
            </w:r>
            <w:proofErr w:type="spellEnd"/>
            <w:r w:rsidRPr="00EB0CAF">
              <w:rPr>
                <w:rStyle w:val="A0"/>
              </w:rPr>
              <w:t xml:space="preserve"> </w:t>
            </w:r>
            <w:proofErr w:type="spellStart"/>
            <w:r w:rsidRPr="00EB0CAF">
              <w:rPr>
                <w:rStyle w:val="A0"/>
              </w:rPr>
              <w:t>months</w:t>
            </w:r>
            <w:proofErr w:type="spellEnd"/>
            <w:r w:rsidRPr="00EB0CAF">
              <w:rPr>
                <w:rStyle w:val="A0"/>
              </w:rPr>
              <w:t xml:space="preserve">. </w:t>
            </w:r>
            <w:proofErr w:type="spellStart"/>
            <w:r w:rsidRPr="00EB0CAF">
              <w:rPr>
                <w:rStyle w:val="A0"/>
              </w:rPr>
              <w:t>Turnovers</w:t>
            </w:r>
            <w:proofErr w:type="spellEnd"/>
            <w:r w:rsidRPr="00EB0CAF">
              <w:rPr>
                <w:rStyle w:val="A0"/>
              </w:rPr>
              <w:t xml:space="preserve"> in </w:t>
            </w:r>
            <w:proofErr w:type="spellStart"/>
            <w:r w:rsidRPr="00EB0CAF">
              <w:rPr>
                <w:rStyle w:val="A0"/>
              </w:rPr>
              <w:t>the</w:t>
            </w:r>
            <w:proofErr w:type="spellEnd"/>
            <w:r w:rsidRPr="00EB0CAF">
              <w:rPr>
                <w:rStyle w:val="A0"/>
              </w:rPr>
              <w:t xml:space="preserve"> </w:t>
            </w:r>
            <w:proofErr w:type="spellStart"/>
            <w:r w:rsidRPr="00EB0CAF">
              <w:rPr>
                <w:rStyle w:val="A0"/>
              </w:rPr>
              <w:t>retail</w:t>
            </w:r>
            <w:proofErr w:type="spellEnd"/>
            <w:r w:rsidRPr="00EB0CAF">
              <w:rPr>
                <w:rStyle w:val="A0"/>
              </w:rPr>
              <w:t xml:space="preserve"> </w:t>
            </w:r>
            <w:proofErr w:type="spellStart"/>
            <w:r w:rsidRPr="00EB0CAF">
              <w:rPr>
                <w:rStyle w:val="A0"/>
              </w:rPr>
              <w:t>sales</w:t>
            </w:r>
            <w:proofErr w:type="spellEnd"/>
            <w:r w:rsidRPr="00EB0CAF">
              <w:rPr>
                <w:rStyle w:val="A0"/>
              </w:rPr>
              <w:t xml:space="preserve"> </w:t>
            </w:r>
            <w:proofErr w:type="spellStart"/>
            <w:r w:rsidRPr="00EB0CAF">
              <w:rPr>
                <w:rStyle w:val="A0"/>
              </w:rPr>
              <w:t>of</w:t>
            </w:r>
            <w:proofErr w:type="spellEnd"/>
            <w:r w:rsidRPr="00EB0CAF">
              <w:rPr>
                <w:rStyle w:val="A0"/>
              </w:rPr>
              <w:t xml:space="preserve"> non-</w:t>
            </w:r>
            <w:proofErr w:type="spellStart"/>
            <w:r w:rsidRPr="00EB0CAF">
              <w:rPr>
                <w:rStyle w:val="A0"/>
              </w:rPr>
              <w:t>food</w:t>
            </w:r>
            <w:proofErr w:type="spellEnd"/>
            <w:r w:rsidRPr="00EB0CAF">
              <w:rPr>
                <w:rStyle w:val="A0"/>
              </w:rPr>
              <w:t xml:space="preserve"> </w:t>
            </w:r>
            <w:proofErr w:type="spellStart"/>
            <w:r w:rsidRPr="00EB0CAF">
              <w:rPr>
                <w:rStyle w:val="A0"/>
              </w:rPr>
              <w:t>and</w:t>
            </w:r>
            <w:proofErr w:type="spellEnd"/>
            <w:r w:rsidRPr="00EB0CAF">
              <w:rPr>
                <w:rStyle w:val="A0"/>
              </w:rPr>
              <w:t xml:space="preserve"> </w:t>
            </w:r>
            <w:proofErr w:type="spellStart"/>
            <w:r w:rsidRPr="00EB0CAF">
              <w:rPr>
                <w:rStyle w:val="A0"/>
              </w:rPr>
              <w:t>food</w:t>
            </w:r>
            <w:proofErr w:type="spellEnd"/>
            <w:r w:rsidRPr="00EB0CAF">
              <w:rPr>
                <w:rStyle w:val="A0"/>
              </w:rPr>
              <w:t xml:space="preserve"> </w:t>
            </w:r>
            <w:proofErr w:type="spellStart"/>
            <w:r w:rsidRPr="00EB0CAF">
              <w:rPr>
                <w:rStyle w:val="A0"/>
              </w:rPr>
              <w:t>products</w:t>
            </w:r>
            <w:proofErr w:type="spellEnd"/>
            <w:r w:rsidRPr="00EB0CAF">
              <w:rPr>
                <w:rStyle w:val="A0"/>
              </w:rPr>
              <w:t xml:space="preserve"> </w:t>
            </w:r>
            <w:proofErr w:type="spellStart"/>
            <w:r w:rsidRPr="00EB0CAF">
              <w:rPr>
                <w:rStyle w:val="A0"/>
              </w:rPr>
              <w:t>were</w:t>
            </w:r>
            <w:proofErr w:type="spellEnd"/>
            <w:r w:rsidRPr="00EB0CAF">
              <w:rPr>
                <w:rStyle w:val="A0"/>
              </w:rPr>
              <w:t xml:space="preserve"> </w:t>
            </w:r>
            <w:proofErr w:type="spellStart"/>
            <w:r w:rsidRPr="00EB0CAF">
              <w:rPr>
                <w:rStyle w:val="A0"/>
              </w:rPr>
              <w:t>also</w:t>
            </w:r>
            <w:proofErr w:type="spellEnd"/>
            <w:r w:rsidRPr="00EB0CAF">
              <w:rPr>
                <w:rStyle w:val="A0"/>
              </w:rPr>
              <w:t xml:space="preserve"> up </w:t>
            </w:r>
            <w:proofErr w:type="spellStart"/>
            <w:r w:rsidRPr="00EB0CAF">
              <w:rPr>
                <w:rStyle w:val="A0"/>
              </w:rPr>
              <w:t>year</w:t>
            </w:r>
            <w:proofErr w:type="spellEnd"/>
            <w:r w:rsidRPr="00EB0CAF">
              <w:rPr>
                <w:rStyle w:val="A0"/>
              </w:rPr>
              <w:t>-on-</w:t>
            </w:r>
            <w:proofErr w:type="spellStart"/>
            <w:r w:rsidRPr="00EB0CAF">
              <w:rPr>
                <w:rStyle w:val="A0"/>
              </w:rPr>
              <w:t>year</w:t>
            </w:r>
            <w:proofErr w:type="spellEnd"/>
            <w:r w:rsidRPr="00EB0CAF">
              <w:rPr>
                <w:rStyle w:val="A0"/>
              </w:rPr>
              <w:t xml:space="preserve"> in </w:t>
            </w:r>
            <w:proofErr w:type="spellStart"/>
            <w:r w:rsidRPr="00EB0CAF">
              <w:rPr>
                <w:rStyle w:val="A0"/>
              </w:rPr>
              <w:t>the</w:t>
            </w:r>
            <w:proofErr w:type="spellEnd"/>
            <w:r w:rsidRPr="00EB0CAF">
              <w:rPr>
                <w:rStyle w:val="A0"/>
              </w:rPr>
              <w:t xml:space="preserve"> </w:t>
            </w:r>
            <w:proofErr w:type="spellStart"/>
            <w:r w:rsidRPr="00EB0CAF">
              <w:rPr>
                <w:rStyle w:val="A0"/>
              </w:rPr>
              <w:t>first</w:t>
            </w:r>
            <w:proofErr w:type="spellEnd"/>
            <w:r w:rsidRPr="00EB0CAF">
              <w:rPr>
                <w:rStyle w:val="A0"/>
              </w:rPr>
              <w:t xml:space="preserve"> </w:t>
            </w:r>
            <w:proofErr w:type="spellStart"/>
            <w:r w:rsidRPr="00EB0CAF">
              <w:rPr>
                <w:rStyle w:val="A0"/>
              </w:rPr>
              <w:t>four</w:t>
            </w:r>
            <w:proofErr w:type="spellEnd"/>
            <w:r w:rsidRPr="00EB0CAF">
              <w:rPr>
                <w:rStyle w:val="A0"/>
              </w:rPr>
              <w:t xml:space="preserve"> </w:t>
            </w:r>
            <w:proofErr w:type="spellStart"/>
            <w:r w:rsidRPr="00EB0CAF">
              <w:rPr>
                <w:rStyle w:val="A0"/>
              </w:rPr>
              <w:t>months</w:t>
            </w:r>
            <w:proofErr w:type="spellEnd"/>
            <w:r w:rsidRPr="00EB0CAF">
              <w:rPr>
                <w:rStyle w:val="A0"/>
              </w:rPr>
              <w:t xml:space="preserve"> (</w:t>
            </w:r>
            <w:proofErr w:type="spellStart"/>
            <w:r w:rsidRPr="00EB0CAF">
              <w:rPr>
                <w:rStyle w:val="A0"/>
              </w:rPr>
              <w:t>by</w:t>
            </w:r>
            <w:proofErr w:type="spellEnd"/>
            <w:r w:rsidRPr="00EB0CAF">
              <w:rPr>
                <w:rStyle w:val="A0"/>
              </w:rPr>
              <w:t xml:space="preserve"> 1% </w:t>
            </w:r>
            <w:proofErr w:type="spellStart"/>
            <w:r w:rsidRPr="00EB0CAF">
              <w:rPr>
                <w:rStyle w:val="A0"/>
              </w:rPr>
              <w:t>and</w:t>
            </w:r>
            <w:proofErr w:type="spellEnd"/>
            <w:r w:rsidRPr="00EB0CAF">
              <w:rPr>
                <w:rStyle w:val="A0"/>
              </w:rPr>
              <w:t xml:space="preserve"> 3% </w:t>
            </w:r>
            <w:proofErr w:type="spellStart"/>
            <w:r w:rsidRPr="00EB0CAF">
              <w:rPr>
                <w:rStyle w:val="A0"/>
              </w:rPr>
              <w:t>respectively</w:t>
            </w:r>
            <w:proofErr w:type="spellEnd"/>
            <w:r w:rsidRPr="00EB0CAF">
              <w:rPr>
                <w:rStyle w:val="A0"/>
              </w:rPr>
              <w:t xml:space="preserve">). </w:t>
            </w:r>
            <w:proofErr w:type="spellStart"/>
            <w:r w:rsidRPr="00EB0CAF">
              <w:t>According</w:t>
            </w:r>
            <w:proofErr w:type="spellEnd"/>
            <w:r w:rsidRPr="00EB0CAF">
              <w:t xml:space="preserve"> to </w:t>
            </w:r>
            <w:proofErr w:type="spellStart"/>
            <w:r w:rsidRPr="00EB0CAF">
              <w:t>preliminary</w:t>
            </w:r>
            <w:proofErr w:type="spellEnd"/>
            <w:r w:rsidRPr="00EB0CAF">
              <w:t xml:space="preserve"> SURS data, </w:t>
            </w:r>
            <w:proofErr w:type="spellStart"/>
            <w:r w:rsidRPr="00EB0CAF">
              <w:t>turnover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fell</w:t>
            </w:r>
            <w:proofErr w:type="spellEnd"/>
            <w:r w:rsidRPr="00EB0CAF">
              <w:t xml:space="preserve"> in most </w:t>
            </w:r>
            <w:proofErr w:type="spellStart"/>
            <w:r w:rsidRPr="00EB0CAF">
              <w:t>sectors</w:t>
            </w:r>
            <w:proofErr w:type="spellEnd"/>
            <w:r w:rsidRPr="00EB0CAF">
              <w:t xml:space="preserve"> in </w:t>
            </w:r>
            <w:proofErr w:type="spellStart"/>
            <w:r w:rsidRPr="00EB0CAF">
              <w:t>May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and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was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also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down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year</w:t>
            </w:r>
            <w:proofErr w:type="spellEnd"/>
            <w:r w:rsidRPr="00EB0CAF">
              <w:t>-on-</w:t>
            </w:r>
            <w:proofErr w:type="spellStart"/>
            <w:r w:rsidRPr="00EB0CAF">
              <w:t>year</w:t>
            </w:r>
            <w:proofErr w:type="spellEnd"/>
            <w:r w:rsidRPr="00EB0CAF">
              <w:t xml:space="preserve"> in </w:t>
            </w:r>
            <w:proofErr w:type="spellStart"/>
            <w:r w:rsidRPr="00EB0CAF">
              <w:t>the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retail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sales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of</w:t>
            </w:r>
            <w:proofErr w:type="spellEnd"/>
            <w:r w:rsidRPr="00EB0CAF">
              <w:t xml:space="preserve"> non-</w:t>
            </w:r>
            <w:proofErr w:type="spellStart"/>
            <w:r w:rsidRPr="00EB0CAF">
              <w:t>food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products</w:t>
            </w:r>
            <w:proofErr w:type="spellEnd"/>
            <w:r w:rsidRPr="00EB0CAF">
              <w:t xml:space="preserve">, </w:t>
            </w:r>
            <w:proofErr w:type="spellStart"/>
            <w:r w:rsidRPr="00EB0CAF">
              <w:t>while</w:t>
            </w:r>
            <w:proofErr w:type="spellEnd"/>
            <w:r w:rsidRPr="00EB0CAF">
              <w:t xml:space="preserve"> it </w:t>
            </w:r>
            <w:proofErr w:type="spellStart"/>
            <w:r w:rsidRPr="00EB0CAF">
              <w:t>continued</w:t>
            </w:r>
            <w:proofErr w:type="spellEnd"/>
            <w:r w:rsidRPr="00EB0CAF">
              <w:t xml:space="preserve"> to rise </w:t>
            </w:r>
            <w:proofErr w:type="spellStart"/>
            <w:r w:rsidRPr="00EB0CAF">
              <w:t>year</w:t>
            </w:r>
            <w:proofErr w:type="spellEnd"/>
            <w:r w:rsidRPr="00EB0CAF">
              <w:t>-on-</w:t>
            </w:r>
            <w:proofErr w:type="spellStart"/>
            <w:r w:rsidRPr="00EB0CAF">
              <w:t>year</w:t>
            </w:r>
            <w:proofErr w:type="spellEnd"/>
            <w:r w:rsidRPr="00EB0CAF">
              <w:t xml:space="preserve"> in </w:t>
            </w:r>
            <w:proofErr w:type="spellStart"/>
            <w:r w:rsidRPr="00EB0CAF">
              <w:t>the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retail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sales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of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food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products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and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sales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of</w:t>
            </w:r>
            <w:proofErr w:type="spellEnd"/>
            <w:r w:rsidRPr="00EB0CAF">
              <w:t xml:space="preserve"> motor </w:t>
            </w:r>
            <w:proofErr w:type="spellStart"/>
            <w:r w:rsidRPr="00EB0CAF">
              <w:t>vehicles</w:t>
            </w:r>
            <w:proofErr w:type="spellEnd"/>
            <w:r w:rsidRPr="00EB0CAF">
              <w:t>.</w:t>
            </w:r>
          </w:p>
        </w:tc>
      </w:tr>
    </w:tbl>
    <w:p w14:paraId="4091BE8F" w14:textId="77777777" w:rsidR="007D5F4F" w:rsidRDefault="007D5F4F" w:rsidP="001F51CD">
      <w:pPr>
        <w:tabs>
          <w:tab w:val="left" w:pos="580"/>
        </w:tabs>
      </w:pPr>
    </w:p>
    <w:p w14:paraId="76D1D171" w14:textId="77777777" w:rsidR="00506A6D" w:rsidRDefault="00506A6D">
      <w:r>
        <w:rPr>
          <w:b/>
        </w:rPr>
        <w:br w:type="page"/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536"/>
      </w:tblGrid>
      <w:tr w:rsidR="007D5F4F" w14:paraId="645E7F84" w14:textId="77777777" w:rsidTr="007E0F1E">
        <w:tc>
          <w:tcPr>
            <w:tcW w:w="5103" w:type="dxa"/>
            <w:tcBorders>
              <w:bottom w:val="single" w:sz="4" w:space="0" w:color="auto"/>
            </w:tcBorders>
          </w:tcPr>
          <w:p w14:paraId="6025E084" w14:textId="662A10C2" w:rsidR="007D5F4F" w:rsidRDefault="00476FBA" w:rsidP="007E0F1E">
            <w:pPr>
              <w:pStyle w:val="GTNaslovgrafa"/>
            </w:pPr>
            <w:proofErr w:type="spellStart"/>
            <w:r w:rsidRPr="00EB0CAF">
              <w:lastRenderedPageBreak/>
              <w:t>Turnover</w:t>
            </w:r>
            <w:proofErr w:type="spellEnd"/>
            <w:r w:rsidRPr="00EB0CAF">
              <w:t xml:space="preserve"> in market </w:t>
            </w:r>
            <w:proofErr w:type="spellStart"/>
            <w:r w:rsidRPr="00EB0CAF">
              <w:t>services</w:t>
            </w:r>
            <w:proofErr w:type="spellEnd"/>
            <w:r w:rsidRPr="00EB0CAF">
              <w:t>, April 2024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8231161" w14:textId="77777777" w:rsidR="007D5F4F" w:rsidRDefault="007D5F4F" w:rsidP="007E0F1E">
            <w:pPr>
              <w:pStyle w:val="GTBesedilo"/>
            </w:pPr>
          </w:p>
        </w:tc>
      </w:tr>
      <w:tr w:rsidR="007D5F4F" w14:paraId="04306F2F" w14:textId="77777777" w:rsidTr="007E0F1E">
        <w:tc>
          <w:tcPr>
            <w:tcW w:w="5103" w:type="dxa"/>
            <w:tcBorders>
              <w:top w:val="single" w:sz="4" w:space="0" w:color="auto"/>
            </w:tcBorders>
          </w:tcPr>
          <w:p w14:paraId="184EDD85" w14:textId="17CAB4C8" w:rsidR="007D5F4F" w:rsidRDefault="00476FBA" w:rsidP="007E0F1E">
            <w:pPr>
              <w:pStyle w:val="GTBesedilo"/>
            </w:pPr>
            <w:r>
              <w:rPr>
                <w:noProof/>
              </w:rPr>
              <w:drawing>
                <wp:inline distT="0" distB="0" distL="0" distR="0" wp14:anchorId="541759A6" wp14:editId="1DFC2AFA">
                  <wp:extent cx="3164400" cy="2415600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4400" cy="241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249506BE" w14:textId="4BEE84CD" w:rsidR="007D5F4F" w:rsidRDefault="00506A6D" w:rsidP="007E0F1E">
            <w:pPr>
              <w:pStyle w:val="GTBesedilo"/>
            </w:pPr>
            <w:r w:rsidRPr="00EB0CAF">
              <w:rPr>
                <w:b/>
              </w:rPr>
              <w:t xml:space="preserve">In April, total real </w:t>
            </w:r>
            <w:proofErr w:type="spellStart"/>
            <w:r w:rsidRPr="00EB0CAF">
              <w:rPr>
                <w:b/>
              </w:rPr>
              <w:t>turnover</w:t>
            </w:r>
            <w:proofErr w:type="spellEnd"/>
            <w:r w:rsidRPr="00EB0CAF">
              <w:rPr>
                <w:b/>
              </w:rPr>
              <w:t xml:space="preserve"> in market </w:t>
            </w:r>
            <w:proofErr w:type="spellStart"/>
            <w:r w:rsidRPr="00EB0CAF">
              <w:rPr>
                <w:b/>
              </w:rPr>
              <w:t>services</w:t>
            </w:r>
            <w:proofErr w:type="spellEnd"/>
            <w:r w:rsidRPr="00EB0CAF">
              <w:rPr>
                <w:b/>
              </w:rPr>
              <w:t xml:space="preserve"> </w:t>
            </w:r>
            <w:proofErr w:type="spellStart"/>
            <w:r w:rsidRPr="00EB0CAF">
              <w:rPr>
                <w:b/>
              </w:rPr>
              <w:t>fell</w:t>
            </w:r>
            <w:proofErr w:type="spellEnd"/>
            <w:r w:rsidRPr="00EB0CAF">
              <w:rPr>
                <w:b/>
              </w:rPr>
              <w:t xml:space="preserve"> (</w:t>
            </w:r>
            <w:proofErr w:type="spellStart"/>
            <w:r w:rsidRPr="00EB0CAF">
              <w:rPr>
                <w:b/>
              </w:rPr>
              <w:t>by</w:t>
            </w:r>
            <w:proofErr w:type="spellEnd"/>
            <w:r w:rsidRPr="00EB0CAF">
              <w:rPr>
                <w:b/>
              </w:rPr>
              <w:t xml:space="preserve"> 0.6%), </w:t>
            </w:r>
            <w:proofErr w:type="spellStart"/>
            <w:r w:rsidRPr="00EB0CAF">
              <w:rPr>
                <w:b/>
              </w:rPr>
              <w:t>though</w:t>
            </w:r>
            <w:proofErr w:type="spellEnd"/>
            <w:r w:rsidRPr="00EB0CAF">
              <w:rPr>
                <w:b/>
              </w:rPr>
              <w:t xml:space="preserve"> it </w:t>
            </w:r>
            <w:proofErr w:type="spellStart"/>
            <w:r w:rsidRPr="00EB0CAF">
              <w:rPr>
                <w:b/>
              </w:rPr>
              <w:t>remained</w:t>
            </w:r>
            <w:proofErr w:type="spellEnd"/>
            <w:r w:rsidRPr="00EB0CAF">
              <w:rPr>
                <w:b/>
              </w:rPr>
              <w:t xml:space="preserve"> 6.8% </w:t>
            </w:r>
            <w:proofErr w:type="spellStart"/>
            <w:r w:rsidRPr="00EB0CAF">
              <w:rPr>
                <w:b/>
              </w:rPr>
              <w:t>higher</w:t>
            </w:r>
            <w:proofErr w:type="spellEnd"/>
            <w:r w:rsidRPr="00EB0CAF">
              <w:rPr>
                <w:b/>
              </w:rPr>
              <w:t xml:space="preserve"> </w:t>
            </w:r>
            <w:proofErr w:type="spellStart"/>
            <w:r w:rsidRPr="00EB0CAF">
              <w:rPr>
                <w:b/>
              </w:rPr>
              <w:t>year</w:t>
            </w:r>
            <w:proofErr w:type="spellEnd"/>
            <w:r w:rsidRPr="00EB0CAF">
              <w:rPr>
                <w:b/>
              </w:rPr>
              <w:t>-on-</w:t>
            </w:r>
            <w:proofErr w:type="spellStart"/>
            <w:r w:rsidRPr="00EB0CAF">
              <w:rPr>
                <w:b/>
              </w:rPr>
              <w:t>year</w:t>
            </w:r>
            <w:proofErr w:type="spellEnd"/>
            <w:r w:rsidRPr="00EB0CAF">
              <w:rPr>
                <w:b/>
              </w:rPr>
              <w:t xml:space="preserve"> in real </w:t>
            </w:r>
            <w:proofErr w:type="spellStart"/>
            <w:r w:rsidRPr="00EB0CAF">
              <w:rPr>
                <w:b/>
              </w:rPr>
              <w:t>terms</w:t>
            </w:r>
            <w:proofErr w:type="spellEnd"/>
            <w:r w:rsidRPr="00EB0CAF">
              <w:rPr>
                <w:b/>
              </w:rPr>
              <w:t>.</w:t>
            </w:r>
            <w:r w:rsidRPr="00EB0CAF">
              <w:t xml:space="preserve"> </w:t>
            </w:r>
            <w:proofErr w:type="spellStart"/>
            <w:r w:rsidRPr="00EB0CAF">
              <w:t>Following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relatively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high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growth</w:t>
            </w:r>
            <w:proofErr w:type="spellEnd"/>
            <w:r w:rsidRPr="00EB0CAF">
              <w:t xml:space="preserve"> in </w:t>
            </w:r>
            <w:proofErr w:type="spellStart"/>
            <w:r w:rsidRPr="00EB0CAF">
              <w:t>March</w:t>
            </w:r>
            <w:proofErr w:type="spellEnd"/>
            <w:r w:rsidRPr="00EB0CAF">
              <w:t xml:space="preserve">, </w:t>
            </w:r>
            <w:proofErr w:type="spellStart"/>
            <w:r w:rsidRPr="00EB0CAF">
              <w:t>the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sharpest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fall</w:t>
            </w:r>
            <w:proofErr w:type="spellEnd"/>
            <w:r w:rsidRPr="00EB0CAF">
              <w:t xml:space="preserve"> in </w:t>
            </w:r>
            <w:proofErr w:type="spellStart"/>
            <w:r w:rsidRPr="00EB0CAF">
              <w:t>turnover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was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recorded</w:t>
            </w:r>
            <w:proofErr w:type="spellEnd"/>
            <w:r w:rsidRPr="00EB0CAF">
              <w:t xml:space="preserve"> in </w:t>
            </w:r>
            <w:proofErr w:type="spellStart"/>
            <w:r w:rsidRPr="00EB0CAF">
              <w:t>professional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and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technical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activities</w:t>
            </w:r>
            <w:proofErr w:type="spellEnd"/>
            <w:r w:rsidRPr="00EB0CAF">
              <w:t xml:space="preserve">, </w:t>
            </w:r>
            <w:proofErr w:type="spellStart"/>
            <w:r w:rsidRPr="00EB0CAF">
              <w:t>with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the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deepening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of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turnover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decline</w:t>
            </w:r>
            <w:proofErr w:type="spellEnd"/>
            <w:r w:rsidRPr="00EB0CAF">
              <w:t xml:space="preserve"> in </w:t>
            </w:r>
            <w:proofErr w:type="spellStart"/>
            <w:r w:rsidRPr="00EB0CAF">
              <w:t>architectural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and</w:t>
            </w:r>
            <w:proofErr w:type="spellEnd"/>
            <w:r w:rsidRPr="00EB0CAF">
              <w:t xml:space="preserve"> engineering </w:t>
            </w:r>
            <w:proofErr w:type="spellStart"/>
            <w:r w:rsidRPr="00EB0CAF">
              <w:t>services</w:t>
            </w:r>
            <w:proofErr w:type="spellEnd"/>
            <w:r w:rsidRPr="00EB0CAF">
              <w:t xml:space="preserve">. A </w:t>
            </w:r>
            <w:proofErr w:type="spellStart"/>
            <w:r w:rsidRPr="00EB0CAF">
              <w:t>slightly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smaller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decline</w:t>
            </w:r>
            <w:proofErr w:type="spellEnd"/>
            <w:r w:rsidRPr="00EB0CAF">
              <w:t xml:space="preserve"> in </w:t>
            </w:r>
            <w:proofErr w:type="spellStart"/>
            <w:r w:rsidRPr="00EB0CAF">
              <w:t>turnover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was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observed</w:t>
            </w:r>
            <w:proofErr w:type="spellEnd"/>
            <w:r w:rsidRPr="00EB0CAF">
              <w:t xml:space="preserve"> in administrative </w:t>
            </w:r>
            <w:proofErr w:type="spellStart"/>
            <w:r w:rsidRPr="00EB0CAF">
              <w:t>and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support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service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activities</w:t>
            </w:r>
            <w:proofErr w:type="spellEnd"/>
            <w:r w:rsidRPr="00EB0CAF">
              <w:t xml:space="preserve">, </w:t>
            </w:r>
            <w:proofErr w:type="spellStart"/>
            <w:r w:rsidRPr="00EB0CAF">
              <w:t>with</w:t>
            </w:r>
            <w:proofErr w:type="spellEnd"/>
            <w:r w:rsidRPr="00EB0CAF">
              <w:t xml:space="preserve"> a </w:t>
            </w:r>
            <w:proofErr w:type="spellStart"/>
            <w:r w:rsidRPr="00EB0CAF">
              <w:t>further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contraction</w:t>
            </w:r>
            <w:proofErr w:type="spellEnd"/>
            <w:r w:rsidRPr="00EB0CAF">
              <w:t xml:space="preserve"> in </w:t>
            </w:r>
            <w:proofErr w:type="spellStart"/>
            <w:r w:rsidRPr="00EB0CAF">
              <w:t>employment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services</w:t>
            </w:r>
            <w:proofErr w:type="spellEnd"/>
            <w:r w:rsidRPr="00EB0CAF">
              <w:t>.</w:t>
            </w:r>
            <w:r w:rsidRPr="00EB0CAF">
              <w:rPr>
                <w:color w:val="000000"/>
              </w:rPr>
              <w:t xml:space="preserve"> </w:t>
            </w:r>
            <w:proofErr w:type="spellStart"/>
            <w:r w:rsidRPr="00EB0CAF">
              <w:t>Turnover</w:t>
            </w:r>
            <w:proofErr w:type="spellEnd"/>
            <w:r w:rsidRPr="00EB0CAF">
              <w:t xml:space="preserve"> in </w:t>
            </w:r>
            <w:proofErr w:type="spellStart"/>
            <w:r w:rsidRPr="00EB0CAF">
              <w:t>accommodation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and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food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service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activities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fell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for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the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fourth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month</w:t>
            </w:r>
            <w:proofErr w:type="spellEnd"/>
            <w:r w:rsidRPr="00EB0CAF">
              <w:t xml:space="preserve"> in a </w:t>
            </w:r>
            <w:proofErr w:type="spellStart"/>
            <w:r w:rsidRPr="00EB0CAF">
              <w:t>row</w:t>
            </w:r>
            <w:proofErr w:type="spellEnd"/>
            <w:r w:rsidRPr="00EB0CAF">
              <w:t xml:space="preserve">. In </w:t>
            </w:r>
            <w:proofErr w:type="spellStart"/>
            <w:r w:rsidRPr="00EB0CAF">
              <w:t>addition</w:t>
            </w:r>
            <w:proofErr w:type="spellEnd"/>
            <w:r w:rsidRPr="00EB0CAF">
              <w:t xml:space="preserve">, </w:t>
            </w:r>
            <w:proofErr w:type="spellStart"/>
            <w:r w:rsidRPr="00EB0CAF">
              <w:t>the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decline</w:t>
            </w:r>
            <w:proofErr w:type="spellEnd"/>
            <w:r w:rsidRPr="00EB0CAF">
              <w:t xml:space="preserve"> in </w:t>
            </w:r>
            <w:proofErr w:type="spellStart"/>
            <w:r w:rsidRPr="00EB0CAF">
              <w:t>turnover</w:t>
            </w:r>
            <w:proofErr w:type="spellEnd"/>
            <w:r w:rsidRPr="00EB0CAF">
              <w:t xml:space="preserve"> in </w:t>
            </w:r>
            <w:proofErr w:type="spellStart"/>
            <w:r w:rsidRPr="00EB0CAF">
              <w:t>the</w:t>
            </w:r>
            <w:proofErr w:type="spellEnd"/>
            <w:r w:rsidRPr="00EB0CAF">
              <w:t xml:space="preserve"> real </w:t>
            </w:r>
            <w:proofErr w:type="spellStart"/>
            <w:r w:rsidRPr="00EB0CAF">
              <w:t>estate</w:t>
            </w:r>
            <w:proofErr w:type="spellEnd"/>
            <w:r w:rsidRPr="00EB0CAF">
              <w:t xml:space="preserve"> </w:t>
            </w:r>
            <w:proofErr w:type="spellStart"/>
            <w:r>
              <w:t>activities</w:t>
            </w:r>
            <w:proofErr w:type="spellEnd"/>
            <w:r>
              <w:t xml:space="preserve"> </w:t>
            </w:r>
            <w:proofErr w:type="spellStart"/>
            <w:r w:rsidRPr="00EB0CAF">
              <w:t>contributed</w:t>
            </w:r>
            <w:proofErr w:type="spellEnd"/>
            <w:r w:rsidRPr="00EB0CAF">
              <w:t xml:space="preserve"> to </w:t>
            </w:r>
            <w:proofErr w:type="spellStart"/>
            <w:r w:rsidRPr="00EB0CAF">
              <w:t>the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overall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turnover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decline</w:t>
            </w:r>
            <w:proofErr w:type="spellEnd"/>
            <w:r w:rsidRPr="00EB0CAF">
              <w:t xml:space="preserve"> in market </w:t>
            </w:r>
            <w:proofErr w:type="spellStart"/>
            <w:r w:rsidRPr="00EB0CAF">
              <w:t>services</w:t>
            </w:r>
            <w:proofErr w:type="spellEnd"/>
            <w:r w:rsidRPr="00EB0CAF">
              <w:t xml:space="preserve">. </w:t>
            </w:r>
            <w:proofErr w:type="spellStart"/>
            <w:r w:rsidRPr="00EB0CAF">
              <w:t>However</w:t>
            </w:r>
            <w:proofErr w:type="spellEnd"/>
            <w:r w:rsidRPr="00EB0CAF">
              <w:t xml:space="preserve">, </w:t>
            </w:r>
            <w:proofErr w:type="spellStart"/>
            <w:r w:rsidRPr="00EB0CAF">
              <w:t>turnover</w:t>
            </w:r>
            <w:proofErr w:type="spellEnd"/>
            <w:r w:rsidRPr="00EB0CAF">
              <w:t xml:space="preserve"> in </w:t>
            </w:r>
            <w:proofErr w:type="spellStart"/>
            <w:r w:rsidRPr="00EB0CAF">
              <w:t>transportation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and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storage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increased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slightly</w:t>
            </w:r>
            <w:proofErr w:type="spellEnd"/>
            <w:r w:rsidRPr="00EB0CAF">
              <w:t xml:space="preserve">, </w:t>
            </w:r>
            <w:proofErr w:type="spellStart"/>
            <w:r w:rsidRPr="00EB0CAF">
              <w:t>primarily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due</w:t>
            </w:r>
            <w:proofErr w:type="spellEnd"/>
            <w:r w:rsidRPr="00EB0CAF">
              <w:t xml:space="preserve"> to </w:t>
            </w:r>
            <w:proofErr w:type="spellStart"/>
            <w:r w:rsidRPr="00EB0CAF">
              <w:t>growth</w:t>
            </w:r>
            <w:proofErr w:type="spellEnd"/>
            <w:r w:rsidRPr="00EB0CAF">
              <w:t xml:space="preserve"> in </w:t>
            </w:r>
            <w:proofErr w:type="spellStart"/>
            <w:r w:rsidRPr="00EB0CAF">
              <w:t>warehousing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and</w:t>
            </w:r>
            <w:proofErr w:type="spellEnd"/>
            <w:r w:rsidRPr="00EB0CAF">
              <w:t xml:space="preserve"> </w:t>
            </w:r>
            <w:proofErr w:type="spellStart"/>
            <w:r>
              <w:t>support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 w:rsidRPr="00EB0CAF">
              <w:t>transport</w:t>
            </w:r>
            <w:r>
              <w:t>ation</w:t>
            </w:r>
            <w:proofErr w:type="spellEnd"/>
            <w:r w:rsidRPr="00EB0CAF">
              <w:t xml:space="preserve">. In </w:t>
            </w:r>
            <w:proofErr w:type="spellStart"/>
            <w:r w:rsidRPr="00EB0CAF">
              <w:t>information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and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communication</w:t>
            </w:r>
            <w:proofErr w:type="spellEnd"/>
            <w:r w:rsidRPr="00EB0CAF">
              <w:t xml:space="preserve">, </w:t>
            </w:r>
            <w:proofErr w:type="spellStart"/>
            <w:r w:rsidRPr="00EB0CAF">
              <w:t>turnover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growth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accelerated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due</w:t>
            </w:r>
            <w:proofErr w:type="spellEnd"/>
            <w:r w:rsidRPr="00EB0CAF">
              <w:t xml:space="preserve"> to </w:t>
            </w:r>
            <w:proofErr w:type="spellStart"/>
            <w:r w:rsidRPr="00EB0CAF">
              <w:t>higher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sales</w:t>
            </w:r>
            <w:proofErr w:type="spellEnd"/>
            <w:r w:rsidRPr="00EB0CAF">
              <w:t xml:space="preserve"> in </w:t>
            </w:r>
            <w:proofErr w:type="spellStart"/>
            <w:r w:rsidRPr="00EB0CAF">
              <w:t>telecommunication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services</w:t>
            </w:r>
            <w:proofErr w:type="spellEnd"/>
            <w:r w:rsidRPr="00EB0CAF">
              <w:t xml:space="preserve">. In </w:t>
            </w:r>
            <w:proofErr w:type="spellStart"/>
            <w:r w:rsidRPr="00EB0CAF">
              <w:t>the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first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four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months</w:t>
            </w:r>
            <w:proofErr w:type="spellEnd"/>
            <w:r w:rsidRPr="00EB0CAF">
              <w:t xml:space="preserve">, real </w:t>
            </w:r>
            <w:proofErr w:type="spellStart"/>
            <w:r w:rsidRPr="00EB0CAF">
              <w:t>turnover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was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down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year</w:t>
            </w:r>
            <w:proofErr w:type="spellEnd"/>
            <w:r w:rsidRPr="00EB0CAF">
              <w:t>-on-</w:t>
            </w:r>
            <w:proofErr w:type="spellStart"/>
            <w:r w:rsidRPr="00EB0CAF">
              <w:t>year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only</w:t>
            </w:r>
            <w:proofErr w:type="spellEnd"/>
            <w:r w:rsidRPr="00EB0CAF">
              <w:t xml:space="preserve"> in </w:t>
            </w:r>
            <w:proofErr w:type="spellStart"/>
            <w:r w:rsidRPr="00EB0CAF">
              <w:t>transportation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and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storage</w:t>
            </w:r>
            <w:proofErr w:type="spellEnd"/>
            <w:r w:rsidRPr="00EB0CAF">
              <w:t>.</w:t>
            </w:r>
          </w:p>
        </w:tc>
      </w:tr>
    </w:tbl>
    <w:p w14:paraId="3BB3147D" w14:textId="77777777" w:rsidR="007D5F4F" w:rsidRDefault="007D5F4F" w:rsidP="001F51CD">
      <w:pPr>
        <w:tabs>
          <w:tab w:val="left" w:pos="580"/>
        </w:tabs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536"/>
      </w:tblGrid>
      <w:tr w:rsidR="007D5F4F" w14:paraId="51D5DFAE" w14:textId="77777777" w:rsidTr="007E0F1E">
        <w:tc>
          <w:tcPr>
            <w:tcW w:w="5103" w:type="dxa"/>
            <w:tcBorders>
              <w:bottom w:val="single" w:sz="4" w:space="0" w:color="auto"/>
            </w:tcBorders>
          </w:tcPr>
          <w:p w14:paraId="57997810" w14:textId="25148354" w:rsidR="007D5F4F" w:rsidRDefault="00476FBA" w:rsidP="007E0F1E">
            <w:pPr>
              <w:pStyle w:val="GTNaslovgrafa"/>
            </w:pPr>
            <w:r w:rsidRPr="00EB0CAF">
              <w:t xml:space="preserve">Real </w:t>
            </w:r>
            <w:proofErr w:type="spellStart"/>
            <w:r w:rsidRPr="00EB0CAF">
              <w:t>estate</w:t>
            </w:r>
            <w:proofErr w:type="spellEnd"/>
            <w:r w:rsidRPr="00EB0CAF">
              <w:t>, Q1 2024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59FE30B" w14:textId="77777777" w:rsidR="007D5F4F" w:rsidRDefault="007D5F4F" w:rsidP="007E0F1E">
            <w:pPr>
              <w:pStyle w:val="GTBesedilo"/>
            </w:pPr>
          </w:p>
        </w:tc>
      </w:tr>
      <w:tr w:rsidR="007D5F4F" w14:paraId="17776F21" w14:textId="77777777" w:rsidTr="007E0F1E">
        <w:tc>
          <w:tcPr>
            <w:tcW w:w="5103" w:type="dxa"/>
            <w:tcBorders>
              <w:top w:val="single" w:sz="4" w:space="0" w:color="auto"/>
            </w:tcBorders>
          </w:tcPr>
          <w:p w14:paraId="14F30961" w14:textId="177E20EA" w:rsidR="007D5F4F" w:rsidRDefault="00476FBA" w:rsidP="007E0F1E">
            <w:pPr>
              <w:pStyle w:val="GTBesedilo"/>
            </w:pPr>
            <w:r>
              <w:rPr>
                <w:noProof/>
              </w:rPr>
              <w:drawing>
                <wp:inline distT="0" distB="0" distL="0" distR="0" wp14:anchorId="130CFB9D" wp14:editId="5CC16DD9">
                  <wp:extent cx="3193200" cy="2469600"/>
                  <wp:effectExtent l="0" t="0" r="7620" b="69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3200" cy="246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ABB88AF" w14:textId="4F81ECB4" w:rsidR="007D5F4F" w:rsidRDefault="00506A6D" w:rsidP="007E0F1E">
            <w:pPr>
              <w:pStyle w:val="GTBesedilo"/>
            </w:pPr>
            <w:r w:rsidRPr="00EB0CAF">
              <w:rPr>
                <w:b/>
              </w:rPr>
              <w:t xml:space="preserve">Amid a </w:t>
            </w:r>
            <w:proofErr w:type="spellStart"/>
            <w:r w:rsidRPr="00EB0CAF">
              <w:rPr>
                <w:b/>
              </w:rPr>
              <w:t>further</w:t>
            </w:r>
            <w:proofErr w:type="spellEnd"/>
            <w:r w:rsidRPr="00EB0CAF">
              <w:rPr>
                <w:b/>
              </w:rPr>
              <w:t xml:space="preserve"> </w:t>
            </w:r>
            <w:proofErr w:type="spellStart"/>
            <w:r w:rsidRPr="00EB0CAF">
              <w:rPr>
                <w:b/>
              </w:rPr>
              <w:t>decline</w:t>
            </w:r>
            <w:proofErr w:type="spellEnd"/>
            <w:r w:rsidRPr="00EB0CAF">
              <w:rPr>
                <w:b/>
              </w:rPr>
              <w:t xml:space="preserve"> in </w:t>
            </w:r>
            <w:proofErr w:type="spellStart"/>
            <w:r w:rsidRPr="00EB0CAF">
              <w:rPr>
                <w:b/>
              </w:rPr>
              <w:t>the</w:t>
            </w:r>
            <w:proofErr w:type="spellEnd"/>
            <w:r w:rsidRPr="00EB0CAF">
              <w:rPr>
                <w:b/>
              </w:rPr>
              <w:t xml:space="preserve"> </w:t>
            </w:r>
            <w:proofErr w:type="spellStart"/>
            <w:r w:rsidRPr="00EB0CAF">
              <w:rPr>
                <w:b/>
              </w:rPr>
              <w:t>volume</w:t>
            </w:r>
            <w:proofErr w:type="spellEnd"/>
            <w:r w:rsidRPr="00EB0CAF">
              <w:rPr>
                <w:b/>
              </w:rPr>
              <w:t xml:space="preserve"> </w:t>
            </w:r>
            <w:proofErr w:type="spellStart"/>
            <w:r w:rsidRPr="00EB0CAF">
              <w:rPr>
                <w:b/>
              </w:rPr>
              <w:t>of</w:t>
            </w:r>
            <w:proofErr w:type="spellEnd"/>
            <w:r w:rsidRPr="00EB0CAF">
              <w:rPr>
                <w:b/>
              </w:rPr>
              <w:t xml:space="preserve"> </w:t>
            </w:r>
            <w:proofErr w:type="spellStart"/>
            <w:r w:rsidRPr="00EB0CAF">
              <w:rPr>
                <w:b/>
              </w:rPr>
              <w:t>sales</w:t>
            </w:r>
            <w:proofErr w:type="spellEnd"/>
            <w:r w:rsidRPr="00EB0CAF">
              <w:rPr>
                <w:b/>
              </w:rPr>
              <w:t xml:space="preserve">, </w:t>
            </w:r>
            <w:proofErr w:type="spellStart"/>
            <w:r w:rsidRPr="00EB0CAF">
              <w:rPr>
                <w:b/>
              </w:rPr>
              <w:t>the</w:t>
            </w:r>
            <w:proofErr w:type="spellEnd"/>
            <w:r w:rsidRPr="00EB0CAF">
              <w:rPr>
                <w:b/>
              </w:rPr>
              <w:t xml:space="preserve"> </w:t>
            </w:r>
            <w:proofErr w:type="spellStart"/>
            <w:r w:rsidRPr="00EB0CAF">
              <w:rPr>
                <w:b/>
              </w:rPr>
              <w:t>year</w:t>
            </w:r>
            <w:proofErr w:type="spellEnd"/>
            <w:r w:rsidRPr="00EB0CAF">
              <w:rPr>
                <w:b/>
              </w:rPr>
              <w:t>-on-</w:t>
            </w:r>
            <w:proofErr w:type="spellStart"/>
            <w:r w:rsidRPr="00EB0CAF">
              <w:rPr>
                <w:b/>
              </w:rPr>
              <w:t>year</w:t>
            </w:r>
            <w:proofErr w:type="spellEnd"/>
            <w:r w:rsidRPr="00EB0CAF">
              <w:rPr>
                <w:b/>
              </w:rPr>
              <w:t xml:space="preserve"> </w:t>
            </w:r>
            <w:proofErr w:type="spellStart"/>
            <w:r w:rsidRPr="00EB0CAF">
              <w:rPr>
                <w:b/>
              </w:rPr>
              <w:t>growth</w:t>
            </w:r>
            <w:proofErr w:type="spellEnd"/>
            <w:r w:rsidRPr="00EB0CAF">
              <w:rPr>
                <w:b/>
              </w:rPr>
              <w:t xml:space="preserve"> in </w:t>
            </w:r>
            <w:proofErr w:type="spellStart"/>
            <w:r w:rsidRPr="00EB0CAF">
              <w:rPr>
                <w:b/>
              </w:rPr>
              <w:t>dwelling</w:t>
            </w:r>
            <w:proofErr w:type="spellEnd"/>
            <w:r w:rsidRPr="00EB0CAF">
              <w:rPr>
                <w:b/>
              </w:rPr>
              <w:t xml:space="preserve"> </w:t>
            </w:r>
            <w:proofErr w:type="spellStart"/>
            <w:r w:rsidRPr="00EB0CAF">
              <w:rPr>
                <w:b/>
              </w:rPr>
              <w:t>prices</w:t>
            </w:r>
            <w:proofErr w:type="spellEnd"/>
            <w:r w:rsidRPr="00EB0CAF">
              <w:rPr>
                <w:b/>
              </w:rPr>
              <w:t xml:space="preserve"> </w:t>
            </w:r>
            <w:proofErr w:type="spellStart"/>
            <w:r w:rsidRPr="00EB0CAF">
              <w:rPr>
                <w:b/>
              </w:rPr>
              <w:t>moderated</w:t>
            </w:r>
            <w:proofErr w:type="spellEnd"/>
            <w:r w:rsidRPr="00EB0CAF">
              <w:rPr>
                <w:b/>
              </w:rPr>
              <w:t xml:space="preserve"> </w:t>
            </w:r>
            <w:proofErr w:type="spellStart"/>
            <w:r w:rsidRPr="00EB0CAF">
              <w:rPr>
                <w:b/>
              </w:rPr>
              <w:t>slightly</w:t>
            </w:r>
            <w:proofErr w:type="spellEnd"/>
            <w:r w:rsidRPr="00EB0CAF">
              <w:rPr>
                <w:b/>
              </w:rPr>
              <w:t xml:space="preserve"> in </w:t>
            </w:r>
            <w:proofErr w:type="spellStart"/>
            <w:r w:rsidRPr="00EB0CAF">
              <w:rPr>
                <w:b/>
              </w:rPr>
              <w:t>the</w:t>
            </w:r>
            <w:proofErr w:type="spellEnd"/>
            <w:r w:rsidRPr="00EB0CAF">
              <w:rPr>
                <w:b/>
              </w:rPr>
              <w:t xml:space="preserve"> </w:t>
            </w:r>
            <w:proofErr w:type="spellStart"/>
            <w:r w:rsidRPr="00EB0CAF">
              <w:rPr>
                <w:b/>
              </w:rPr>
              <w:t>first</w:t>
            </w:r>
            <w:proofErr w:type="spellEnd"/>
            <w:r w:rsidRPr="00EB0CAF">
              <w:rPr>
                <w:b/>
              </w:rPr>
              <w:t xml:space="preserve"> </w:t>
            </w:r>
            <w:proofErr w:type="spellStart"/>
            <w:r w:rsidRPr="00EB0CAF">
              <w:rPr>
                <w:b/>
              </w:rPr>
              <w:t>quarter</w:t>
            </w:r>
            <w:proofErr w:type="spellEnd"/>
            <w:r w:rsidRPr="00EB0CAF">
              <w:rPr>
                <w:b/>
              </w:rPr>
              <w:t>.</w:t>
            </w:r>
            <w:r w:rsidRPr="00EB0CAF">
              <w:t xml:space="preserve"> </w:t>
            </w:r>
            <w:proofErr w:type="spellStart"/>
            <w:r w:rsidRPr="00EB0CAF">
              <w:t>After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price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growth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halved</w:t>
            </w:r>
            <w:proofErr w:type="spellEnd"/>
            <w:r w:rsidRPr="00EB0CAF">
              <w:t xml:space="preserve"> last </w:t>
            </w:r>
            <w:proofErr w:type="spellStart"/>
            <w:r w:rsidRPr="00EB0CAF">
              <w:t>year</w:t>
            </w:r>
            <w:proofErr w:type="spellEnd"/>
            <w:r w:rsidRPr="00EB0CAF">
              <w:t xml:space="preserve"> (to 7.2% on </w:t>
            </w:r>
            <w:proofErr w:type="spellStart"/>
            <w:r w:rsidRPr="00EB0CAF">
              <w:t>average</w:t>
            </w:r>
            <w:proofErr w:type="spellEnd"/>
            <w:r w:rsidRPr="00EB0CAF">
              <w:t xml:space="preserve">), </w:t>
            </w:r>
            <w:proofErr w:type="spellStart"/>
            <w:r w:rsidRPr="00EB0CAF">
              <w:t>prices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were</w:t>
            </w:r>
            <w:proofErr w:type="spellEnd"/>
            <w:r w:rsidRPr="00EB0CAF">
              <w:t xml:space="preserve"> 6.3% </w:t>
            </w:r>
            <w:proofErr w:type="spellStart"/>
            <w:r w:rsidRPr="00EB0CAF">
              <w:t>higher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compared</w:t>
            </w:r>
            <w:proofErr w:type="spellEnd"/>
            <w:r w:rsidRPr="00EB0CAF">
              <w:t xml:space="preserve"> to </w:t>
            </w:r>
            <w:proofErr w:type="spellStart"/>
            <w:r w:rsidRPr="00EB0CAF">
              <w:t>the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first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quarter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of</w:t>
            </w:r>
            <w:proofErr w:type="spellEnd"/>
            <w:r w:rsidRPr="00EB0CAF">
              <w:t xml:space="preserve"> 2023 </w:t>
            </w:r>
            <w:proofErr w:type="spellStart"/>
            <w:r w:rsidRPr="00EB0CAF">
              <w:t>and</w:t>
            </w:r>
            <w:proofErr w:type="spellEnd"/>
            <w:r w:rsidRPr="00EB0CAF">
              <w:t xml:space="preserve"> 1.2% </w:t>
            </w:r>
            <w:proofErr w:type="spellStart"/>
            <w:r w:rsidRPr="00EB0CAF">
              <w:t>higher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compared</w:t>
            </w:r>
            <w:proofErr w:type="spellEnd"/>
            <w:r w:rsidRPr="00EB0CAF">
              <w:t xml:space="preserve"> to </w:t>
            </w:r>
            <w:proofErr w:type="spellStart"/>
            <w:r w:rsidRPr="00EB0CAF">
              <w:t>the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fourth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quarter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of</w:t>
            </w:r>
            <w:proofErr w:type="spellEnd"/>
            <w:r w:rsidRPr="00EB0CAF">
              <w:t xml:space="preserve"> last </w:t>
            </w:r>
            <w:proofErr w:type="spellStart"/>
            <w:r w:rsidRPr="00EB0CAF">
              <w:t>year</w:t>
            </w:r>
            <w:proofErr w:type="spellEnd"/>
            <w:r w:rsidRPr="00EB0CAF">
              <w:t xml:space="preserve">. </w:t>
            </w:r>
            <w:proofErr w:type="spellStart"/>
            <w:r w:rsidRPr="00EB0CAF">
              <w:t>Prices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of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existing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dwellings</w:t>
            </w:r>
            <w:proofErr w:type="spellEnd"/>
            <w:r w:rsidRPr="00EB0CAF">
              <w:t xml:space="preserve">, </w:t>
            </w:r>
            <w:proofErr w:type="spellStart"/>
            <w:r w:rsidRPr="00EB0CAF">
              <w:t>where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the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number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of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transactions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fell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by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almost</w:t>
            </w:r>
            <w:proofErr w:type="spellEnd"/>
            <w:r w:rsidRPr="00EB0CAF">
              <w:t xml:space="preserve"> a </w:t>
            </w:r>
            <w:proofErr w:type="spellStart"/>
            <w:r w:rsidRPr="00EB0CAF">
              <w:t>quarter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year</w:t>
            </w:r>
            <w:proofErr w:type="spellEnd"/>
            <w:r w:rsidRPr="00EB0CAF">
              <w:t>-on-</w:t>
            </w:r>
            <w:proofErr w:type="spellStart"/>
            <w:r w:rsidRPr="00EB0CAF">
              <w:t>year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and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reached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their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lowest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level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since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the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third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quarter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of</w:t>
            </w:r>
            <w:proofErr w:type="spellEnd"/>
            <w:r w:rsidRPr="00EB0CAF">
              <w:t xml:space="preserve"> 2013, rose </w:t>
            </w:r>
            <w:proofErr w:type="spellStart"/>
            <w:r w:rsidRPr="00EB0CAF">
              <w:t>by</w:t>
            </w:r>
            <w:proofErr w:type="spellEnd"/>
            <w:r w:rsidRPr="00EB0CAF">
              <w:t xml:space="preserve"> 6.9% </w:t>
            </w:r>
            <w:proofErr w:type="spellStart"/>
            <w:r w:rsidRPr="00EB0CAF">
              <w:t>year</w:t>
            </w:r>
            <w:proofErr w:type="spellEnd"/>
            <w:r w:rsidRPr="00EB0CAF">
              <w:t>-on-</w:t>
            </w:r>
            <w:proofErr w:type="spellStart"/>
            <w:r w:rsidRPr="00EB0CAF">
              <w:t>year</w:t>
            </w:r>
            <w:proofErr w:type="spellEnd"/>
            <w:r w:rsidRPr="00EB0CAF">
              <w:t xml:space="preserve">. </w:t>
            </w:r>
            <w:proofErr w:type="spellStart"/>
            <w:r w:rsidRPr="00EB0CAF">
              <w:t>Prices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of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newly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built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dwellings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were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also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higher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year</w:t>
            </w:r>
            <w:proofErr w:type="spellEnd"/>
            <w:r w:rsidRPr="00EB0CAF">
              <w:t>-on-</w:t>
            </w:r>
            <w:proofErr w:type="spellStart"/>
            <w:r w:rsidRPr="00EB0CAF">
              <w:t>year</w:t>
            </w:r>
            <w:proofErr w:type="spellEnd"/>
            <w:r w:rsidRPr="00EB0CAF">
              <w:t xml:space="preserve"> (</w:t>
            </w:r>
            <w:proofErr w:type="spellStart"/>
            <w:r w:rsidRPr="00EB0CAF">
              <w:t>by</w:t>
            </w:r>
            <w:proofErr w:type="spellEnd"/>
            <w:r w:rsidRPr="00EB0CAF">
              <w:t xml:space="preserve"> 8.7%), </w:t>
            </w:r>
            <w:proofErr w:type="spellStart"/>
            <w:r w:rsidRPr="00EB0CAF">
              <w:t>but</w:t>
            </w:r>
            <w:proofErr w:type="spellEnd"/>
            <w:r w:rsidRPr="00EB0CAF">
              <w:t xml:space="preserve"> 7.6% </w:t>
            </w:r>
            <w:proofErr w:type="spellStart"/>
            <w:r w:rsidRPr="00EB0CAF">
              <w:t>lower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than</w:t>
            </w:r>
            <w:proofErr w:type="spellEnd"/>
            <w:r w:rsidRPr="00EB0CAF">
              <w:t xml:space="preserve"> in </w:t>
            </w:r>
            <w:proofErr w:type="spellStart"/>
            <w:r w:rsidRPr="00EB0CAF">
              <w:t>the</w:t>
            </w:r>
            <w:proofErr w:type="spellEnd"/>
            <w:r w:rsidRPr="00EB0CAF">
              <w:t xml:space="preserve"> last </w:t>
            </w:r>
            <w:proofErr w:type="spellStart"/>
            <w:r w:rsidRPr="00EB0CAF">
              <w:t>quarter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of</w:t>
            </w:r>
            <w:proofErr w:type="spellEnd"/>
            <w:r w:rsidRPr="00EB0CAF">
              <w:t xml:space="preserve"> last </w:t>
            </w:r>
            <w:proofErr w:type="spellStart"/>
            <w:r w:rsidRPr="00EB0CAF">
              <w:t>year</w:t>
            </w:r>
            <w:proofErr w:type="spellEnd"/>
            <w:r w:rsidRPr="00EB0CAF">
              <w:t xml:space="preserve">. </w:t>
            </w:r>
            <w:proofErr w:type="spellStart"/>
            <w:r w:rsidRPr="00EB0CAF">
              <w:t>The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number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of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their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transactions</w:t>
            </w:r>
            <w:proofErr w:type="spellEnd"/>
            <w:r w:rsidRPr="00EB0CAF">
              <w:t xml:space="preserve">, </w:t>
            </w:r>
            <w:proofErr w:type="spellStart"/>
            <w:r w:rsidRPr="00EB0CAF">
              <w:t>although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only</w:t>
            </w:r>
            <w:proofErr w:type="spellEnd"/>
            <w:r w:rsidRPr="00EB0CAF">
              <w:t xml:space="preserve"> a </w:t>
            </w:r>
            <w:proofErr w:type="spellStart"/>
            <w:r w:rsidRPr="00EB0CAF">
              <w:t>small</w:t>
            </w:r>
            <w:proofErr w:type="spellEnd"/>
            <w:r w:rsidRPr="00EB0CAF">
              <w:t xml:space="preserve"> part </w:t>
            </w:r>
            <w:proofErr w:type="spellStart"/>
            <w:r w:rsidRPr="00EB0CAF">
              <w:t>of</w:t>
            </w:r>
            <w:proofErr w:type="spellEnd"/>
            <w:r w:rsidRPr="00EB0CAF">
              <w:t xml:space="preserve"> total </w:t>
            </w:r>
            <w:proofErr w:type="spellStart"/>
            <w:r w:rsidRPr="00EB0CAF">
              <w:t>sales</w:t>
            </w:r>
            <w:proofErr w:type="spellEnd"/>
            <w:r w:rsidRPr="00EB0CAF">
              <w:t xml:space="preserve"> (8%), </w:t>
            </w:r>
            <w:proofErr w:type="spellStart"/>
            <w:r w:rsidRPr="00EB0CAF">
              <w:t>also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fell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sharply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year</w:t>
            </w:r>
            <w:proofErr w:type="spellEnd"/>
            <w:r w:rsidRPr="00EB0CAF">
              <w:t>-on-</w:t>
            </w:r>
            <w:proofErr w:type="spellStart"/>
            <w:r w:rsidRPr="00EB0CAF">
              <w:t>year</w:t>
            </w:r>
            <w:proofErr w:type="spellEnd"/>
            <w:r w:rsidRPr="00EB0CAF">
              <w:t xml:space="preserve"> (</w:t>
            </w:r>
            <w:proofErr w:type="spellStart"/>
            <w:r w:rsidRPr="00EB0CAF">
              <w:t>by</w:t>
            </w:r>
            <w:proofErr w:type="spellEnd"/>
            <w:r w:rsidRPr="00EB0CAF">
              <w:t xml:space="preserve"> a </w:t>
            </w:r>
            <w:proofErr w:type="spellStart"/>
            <w:r w:rsidRPr="00EB0CAF">
              <w:t>third</w:t>
            </w:r>
            <w:proofErr w:type="spellEnd"/>
            <w:r w:rsidRPr="00EB0CAF">
              <w:t xml:space="preserve">), </w:t>
            </w:r>
            <w:proofErr w:type="spellStart"/>
            <w:r w:rsidRPr="00EB0CAF">
              <w:t>after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their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number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was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relatively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high</w:t>
            </w:r>
            <w:proofErr w:type="spellEnd"/>
            <w:r w:rsidRPr="00EB0CAF">
              <w:t xml:space="preserve"> in 2023 (</w:t>
            </w:r>
            <w:proofErr w:type="spellStart"/>
            <w:r w:rsidRPr="00EB0CAF">
              <w:t>according</w:t>
            </w:r>
            <w:proofErr w:type="spellEnd"/>
            <w:r w:rsidRPr="00EB0CAF">
              <w:t xml:space="preserve"> to </w:t>
            </w:r>
            <w:proofErr w:type="spellStart"/>
            <w:r w:rsidRPr="00EB0CAF">
              <w:t>the</w:t>
            </w:r>
            <w:proofErr w:type="spellEnd"/>
            <w:r w:rsidRPr="00EB0CAF">
              <w:t xml:space="preserve"> </w:t>
            </w:r>
            <w:proofErr w:type="spellStart"/>
            <w:r w:rsidRPr="00EB0CAF">
              <w:t>revised</w:t>
            </w:r>
            <w:proofErr w:type="spellEnd"/>
            <w:r w:rsidRPr="00EB0CAF">
              <w:t xml:space="preserve"> data).</w:t>
            </w:r>
            <w:r w:rsidRPr="00EB0CAF">
              <w:rPr>
                <w:rFonts w:eastAsia="Myriad Pro" w:cs="Myriad Pro"/>
                <w:szCs w:val="20"/>
                <w:vertAlign w:val="superscript"/>
              </w:rPr>
              <w:footnoteReference w:id="2"/>
            </w:r>
          </w:p>
        </w:tc>
      </w:tr>
    </w:tbl>
    <w:p w14:paraId="3C064533" w14:textId="77777777" w:rsidR="007D5F4F" w:rsidRDefault="007D5F4F" w:rsidP="001F51CD">
      <w:pPr>
        <w:tabs>
          <w:tab w:val="left" w:pos="580"/>
        </w:tabs>
      </w:pPr>
    </w:p>
    <w:p w14:paraId="67F8E4FE" w14:textId="77777777" w:rsidR="00363E63" w:rsidRDefault="00363E63" w:rsidP="001F51CD">
      <w:pPr>
        <w:tabs>
          <w:tab w:val="left" w:pos="580"/>
        </w:tabs>
      </w:pPr>
    </w:p>
    <w:p w14:paraId="5275CE4C" w14:textId="77777777" w:rsidR="00FE7254" w:rsidRPr="00FE7254" w:rsidRDefault="00FE7254" w:rsidP="00FE7254">
      <w:pPr>
        <w:sectPr w:rsidR="00FE7254" w:rsidRPr="00FE7254" w:rsidSect="0051021F"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1134" w:right="1134" w:bottom="1021" w:left="1134" w:header="709" w:footer="397" w:gutter="0"/>
          <w:cols w:space="708"/>
          <w:titlePg/>
          <w:docGrid w:linePitch="360"/>
        </w:sectPr>
      </w:pPr>
    </w:p>
    <w:p w14:paraId="0C781447" w14:textId="2D72DFF0" w:rsidR="002E69B6" w:rsidRDefault="00CB09C0" w:rsidP="00892A1A">
      <w:pPr>
        <w:tabs>
          <w:tab w:val="left" w:pos="580"/>
        </w:tabs>
        <w:ind w:left="-142"/>
      </w:pPr>
      <w:r w:rsidRPr="00CB09C0">
        <w:rPr>
          <w:noProof/>
        </w:rPr>
        <w:lastRenderedPageBreak/>
        <w:drawing>
          <wp:inline distT="0" distB="0" distL="0" distR="0" wp14:anchorId="4575521B" wp14:editId="3BF7FAC7">
            <wp:extent cx="6120130" cy="8488680"/>
            <wp:effectExtent l="0" t="0" r="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8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69B6" w:rsidSect="00363E63">
      <w:headerReference w:type="default" r:id="rId21"/>
      <w:footerReference w:type="default" r:id="rId22"/>
      <w:pgSz w:w="11906" w:h="16838"/>
      <w:pgMar w:top="1134" w:right="1134" w:bottom="102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D4CF5" w14:textId="77777777" w:rsidR="007D5F4F" w:rsidRDefault="007D5F4F" w:rsidP="0063497B">
      <w:pPr>
        <w:spacing w:line="240" w:lineRule="auto"/>
      </w:pPr>
      <w:r>
        <w:separator/>
      </w:r>
    </w:p>
  </w:endnote>
  <w:endnote w:type="continuationSeparator" w:id="0">
    <w:p w14:paraId="12E48433" w14:textId="77777777" w:rsidR="007D5F4F" w:rsidRDefault="007D5F4F" w:rsidP="006349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BE98C" w14:textId="77777777" w:rsidR="0029405F" w:rsidRPr="00882CFE" w:rsidRDefault="00882CFE" w:rsidP="00882CFE">
    <w:pPr>
      <w:pStyle w:val="GTNaslovgrafa"/>
      <w:tabs>
        <w:tab w:val="right" w:pos="9638"/>
      </w:tabs>
      <w:jc w:val="left"/>
      <w:rPr>
        <w:b w:val="0"/>
        <w:sz w:val="18"/>
        <w:szCs w:val="18"/>
      </w:rPr>
    </w:pPr>
    <w:r w:rsidRPr="00882CFE">
      <w:rPr>
        <w:sz w:val="18"/>
        <w:szCs w:val="18"/>
      </w:rPr>
      <w:t xml:space="preserve">More </w:t>
    </w:r>
    <w:proofErr w:type="spellStart"/>
    <w:r w:rsidRPr="00882CFE">
      <w:rPr>
        <w:sz w:val="18"/>
        <w:szCs w:val="18"/>
      </w:rPr>
      <w:t>information</w:t>
    </w:r>
    <w:proofErr w:type="spellEnd"/>
    <w:r w:rsidRPr="00882CFE">
      <w:rPr>
        <w:sz w:val="18"/>
        <w:szCs w:val="18"/>
      </w:rPr>
      <w:t xml:space="preserve">: </w:t>
    </w:r>
    <w:r w:rsidRPr="00882CFE">
      <w:rPr>
        <w:b w:val="0"/>
        <w:bCs/>
        <w:sz w:val="18"/>
        <w:szCs w:val="18"/>
      </w:rPr>
      <w:t xml:space="preserve">+ 386 </w:t>
    </w:r>
    <w:r w:rsidRPr="00C26C8D">
      <w:rPr>
        <w:b w:val="0"/>
        <w:sz w:val="18"/>
        <w:szCs w:val="18"/>
      </w:rPr>
      <w:t>1 478 10 04, polona.osrajnik@gov.si</w:t>
    </w:r>
    <w:r w:rsidRPr="00363E63">
      <w:rPr>
        <w:b w:val="0"/>
        <w:sz w:val="18"/>
        <w:szCs w:val="18"/>
      </w:rPr>
      <w:tab/>
    </w:r>
    <w:r w:rsidRPr="000A5EE8">
      <w:rPr>
        <w:b w:val="0"/>
        <w:bCs/>
        <w:sz w:val="18"/>
        <w:szCs w:val="18"/>
      </w:rPr>
      <w:t xml:space="preserve"> </w:t>
    </w:r>
    <w:sdt>
      <w:sdtPr>
        <w:rPr>
          <w:b w:val="0"/>
          <w:bCs/>
          <w:sz w:val="18"/>
          <w:szCs w:val="18"/>
        </w:rPr>
        <w:id w:val="18666262"/>
        <w:docPartObj>
          <w:docPartGallery w:val="Page Numbers (Bottom of Page)"/>
          <w:docPartUnique/>
        </w:docPartObj>
      </w:sdtPr>
      <w:sdtEndPr/>
      <w:sdtContent>
        <w:r w:rsidRPr="000A5EE8">
          <w:rPr>
            <w:b w:val="0"/>
            <w:bCs/>
            <w:sz w:val="18"/>
            <w:szCs w:val="18"/>
          </w:rPr>
          <w:fldChar w:fldCharType="begin"/>
        </w:r>
        <w:r w:rsidRPr="000A5EE8">
          <w:rPr>
            <w:b w:val="0"/>
            <w:bCs/>
            <w:sz w:val="18"/>
            <w:szCs w:val="18"/>
          </w:rPr>
          <w:instrText>PAGE   \* MERGEFORMAT</w:instrText>
        </w:r>
        <w:r w:rsidRPr="000A5EE8">
          <w:rPr>
            <w:b w:val="0"/>
            <w:bCs/>
            <w:sz w:val="18"/>
            <w:szCs w:val="18"/>
          </w:rPr>
          <w:fldChar w:fldCharType="separate"/>
        </w:r>
        <w:r>
          <w:rPr>
            <w:b w:val="0"/>
            <w:bCs/>
            <w:sz w:val="18"/>
            <w:szCs w:val="18"/>
          </w:rPr>
          <w:t>1</w:t>
        </w:r>
        <w:r w:rsidRPr="000A5EE8">
          <w:rPr>
            <w:b w:val="0"/>
            <w:bCs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007F8" w14:textId="77777777" w:rsidR="0029405F" w:rsidRPr="00363E63" w:rsidRDefault="00882CFE" w:rsidP="000A5EE8">
    <w:pPr>
      <w:pStyle w:val="GTNaslovgrafa"/>
      <w:tabs>
        <w:tab w:val="right" w:pos="9638"/>
      </w:tabs>
      <w:jc w:val="left"/>
      <w:rPr>
        <w:b w:val="0"/>
        <w:sz w:val="18"/>
        <w:szCs w:val="18"/>
      </w:rPr>
    </w:pPr>
    <w:r w:rsidRPr="00882CFE">
      <w:rPr>
        <w:sz w:val="18"/>
        <w:szCs w:val="18"/>
      </w:rPr>
      <w:t xml:space="preserve">More </w:t>
    </w:r>
    <w:proofErr w:type="spellStart"/>
    <w:r w:rsidRPr="00882CFE">
      <w:rPr>
        <w:sz w:val="18"/>
        <w:szCs w:val="18"/>
      </w:rPr>
      <w:t>information</w:t>
    </w:r>
    <w:proofErr w:type="spellEnd"/>
    <w:r w:rsidRPr="00882CFE">
      <w:rPr>
        <w:sz w:val="18"/>
        <w:szCs w:val="18"/>
      </w:rPr>
      <w:t xml:space="preserve">: </w:t>
    </w:r>
    <w:r w:rsidRPr="00882CFE">
      <w:rPr>
        <w:b w:val="0"/>
        <w:bCs/>
        <w:sz w:val="18"/>
        <w:szCs w:val="18"/>
      </w:rPr>
      <w:t xml:space="preserve">+ 386 </w:t>
    </w:r>
    <w:r w:rsidR="000A5EE8" w:rsidRPr="00C26C8D">
      <w:rPr>
        <w:b w:val="0"/>
        <w:sz w:val="18"/>
        <w:szCs w:val="18"/>
      </w:rPr>
      <w:t>1 478 10 04, polona.osrajnik@gov.si</w:t>
    </w:r>
    <w:r w:rsidR="00363E63" w:rsidRPr="00363E63">
      <w:rPr>
        <w:b w:val="0"/>
        <w:sz w:val="18"/>
        <w:szCs w:val="18"/>
      </w:rPr>
      <w:tab/>
    </w:r>
    <w:r w:rsidR="00363E63" w:rsidRPr="000A5EE8">
      <w:rPr>
        <w:b w:val="0"/>
        <w:bCs/>
        <w:sz w:val="18"/>
        <w:szCs w:val="18"/>
      </w:rPr>
      <w:t xml:space="preserve"> </w:t>
    </w:r>
    <w:sdt>
      <w:sdtPr>
        <w:rPr>
          <w:b w:val="0"/>
          <w:bCs/>
          <w:sz w:val="18"/>
          <w:szCs w:val="18"/>
        </w:rPr>
        <w:id w:val="-89402759"/>
        <w:docPartObj>
          <w:docPartGallery w:val="Page Numbers (Bottom of Page)"/>
          <w:docPartUnique/>
        </w:docPartObj>
      </w:sdtPr>
      <w:sdtEndPr/>
      <w:sdtContent>
        <w:r w:rsidR="00363E63" w:rsidRPr="000A5EE8">
          <w:rPr>
            <w:b w:val="0"/>
            <w:bCs/>
            <w:sz w:val="18"/>
            <w:szCs w:val="18"/>
          </w:rPr>
          <w:fldChar w:fldCharType="begin"/>
        </w:r>
        <w:r w:rsidR="00363E63" w:rsidRPr="000A5EE8">
          <w:rPr>
            <w:b w:val="0"/>
            <w:bCs/>
            <w:sz w:val="18"/>
            <w:szCs w:val="18"/>
          </w:rPr>
          <w:instrText>PAGE   \* MERGEFORMAT</w:instrText>
        </w:r>
        <w:r w:rsidR="00363E63" w:rsidRPr="000A5EE8">
          <w:rPr>
            <w:b w:val="0"/>
            <w:bCs/>
            <w:sz w:val="18"/>
            <w:szCs w:val="18"/>
          </w:rPr>
          <w:fldChar w:fldCharType="separate"/>
        </w:r>
        <w:r w:rsidR="00363E63" w:rsidRPr="000A5EE8">
          <w:rPr>
            <w:b w:val="0"/>
            <w:bCs/>
            <w:sz w:val="18"/>
            <w:szCs w:val="18"/>
          </w:rPr>
          <w:t>1</w:t>
        </w:r>
        <w:r w:rsidR="00363E63" w:rsidRPr="000A5EE8">
          <w:rPr>
            <w:b w:val="0"/>
            <w:bCs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3195B" w14:textId="77777777" w:rsidR="00892A1A" w:rsidRPr="00882CFE" w:rsidRDefault="00882CFE" w:rsidP="00882CFE">
    <w:pPr>
      <w:pStyle w:val="GTNaslovgrafa"/>
      <w:tabs>
        <w:tab w:val="right" w:pos="9638"/>
      </w:tabs>
      <w:jc w:val="left"/>
      <w:rPr>
        <w:b w:val="0"/>
        <w:sz w:val="18"/>
        <w:szCs w:val="18"/>
      </w:rPr>
    </w:pPr>
    <w:r w:rsidRPr="00882CFE">
      <w:rPr>
        <w:sz w:val="18"/>
        <w:szCs w:val="18"/>
      </w:rPr>
      <w:t xml:space="preserve">More </w:t>
    </w:r>
    <w:proofErr w:type="spellStart"/>
    <w:r w:rsidRPr="00882CFE">
      <w:rPr>
        <w:sz w:val="18"/>
        <w:szCs w:val="18"/>
      </w:rPr>
      <w:t>information</w:t>
    </w:r>
    <w:proofErr w:type="spellEnd"/>
    <w:r w:rsidRPr="00882CFE">
      <w:rPr>
        <w:sz w:val="18"/>
        <w:szCs w:val="18"/>
      </w:rPr>
      <w:t xml:space="preserve">: </w:t>
    </w:r>
    <w:r w:rsidRPr="00882CFE">
      <w:rPr>
        <w:b w:val="0"/>
        <w:bCs/>
        <w:sz w:val="18"/>
        <w:szCs w:val="18"/>
      </w:rPr>
      <w:t xml:space="preserve">+ 386 </w:t>
    </w:r>
    <w:r w:rsidRPr="00C26C8D">
      <w:rPr>
        <w:b w:val="0"/>
        <w:sz w:val="18"/>
        <w:szCs w:val="18"/>
      </w:rPr>
      <w:t>1 478 10 04, polona.osrajnik@gov.si</w:t>
    </w:r>
    <w:r w:rsidRPr="00363E63">
      <w:rPr>
        <w:b w:val="0"/>
        <w:sz w:val="18"/>
        <w:szCs w:val="18"/>
      </w:rPr>
      <w:tab/>
    </w:r>
    <w:r w:rsidRPr="000A5EE8">
      <w:rPr>
        <w:b w:val="0"/>
        <w:bCs/>
        <w:sz w:val="18"/>
        <w:szCs w:val="18"/>
      </w:rPr>
      <w:t xml:space="preserve"> </w:t>
    </w:r>
    <w:sdt>
      <w:sdtPr>
        <w:rPr>
          <w:b w:val="0"/>
          <w:bCs/>
          <w:sz w:val="18"/>
          <w:szCs w:val="18"/>
        </w:rPr>
        <w:id w:val="1950431432"/>
        <w:docPartObj>
          <w:docPartGallery w:val="Page Numbers (Bottom of Page)"/>
          <w:docPartUnique/>
        </w:docPartObj>
      </w:sdtPr>
      <w:sdtEndPr/>
      <w:sdtContent>
        <w:r w:rsidRPr="000A5EE8">
          <w:rPr>
            <w:b w:val="0"/>
            <w:bCs/>
            <w:sz w:val="18"/>
            <w:szCs w:val="18"/>
          </w:rPr>
          <w:fldChar w:fldCharType="begin"/>
        </w:r>
        <w:r w:rsidRPr="000A5EE8">
          <w:rPr>
            <w:b w:val="0"/>
            <w:bCs/>
            <w:sz w:val="18"/>
            <w:szCs w:val="18"/>
          </w:rPr>
          <w:instrText>PAGE   \* MERGEFORMAT</w:instrText>
        </w:r>
        <w:r w:rsidRPr="000A5EE8">
          <w:rPr>
            <w:b w:val="0"/>
            <w:bCs/>
            <w:sz w:val="18"/>
            <w:szCs w:val="18"/>
          </w:rPr>
          <w:fldChar w:fldCharType="separate"/>
        </w:r>
        <w:r>
          <w:rPr>
            <w:b w:val="0"/>
            <w:bCs/>
            <w:sz w:val="18"/>
            <w:szCs w:val="18"/>
          </w:rPr>
          <w:t>1</w:t>
        </w:r>
        <w:r w:rsidRPr="000A5EE8">
          <w:rPr>
            <w:b w:val="0"/>
            <w:bCs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10AFA" w14:textId="77777777" w:rsidR="007D5F4F" w:rsidRDefault="007D5F4F" w:rsidP="0063497B">
      <w:pPr>
        <w:spacing w:line="240" w:lineRule="auto"/>
      </w:pPr>
      <w:r>
        <w:separator/>
      </w:r>
    </w:p>
  </w:footnote>
  <w:footnote w:type="continuationSeparator" w:id="0">
    <w:p w14:paraId="4EDA049B" w14:textId="77777777" w:rsidR="007D5F4F" w:rsidRDefault="007D5F4F" w:rsidP="0063497B">
      <w:pPr>
        <w:spacing w:line="240" w:lineRule="auto"/>
      </w:pPr>
      <w:r>
        <w:continuationSeparator/>
      </w:r>
    </w:p>
  </w:footnote>
  <w:footnote w:id="1">
    <w:p w14:paraId="5A4FA3BC" w14:textId="77777777" w:rsidR="00506A6D" w:rsidRDefault="00506A6D" w:rsidP="00506A6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Inclusion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individuals</w:t>
      </w:r>
      <w:proofErr w:type="spellEnd"/>
      <w:r>
        <w:t xml:space="preserve"> </w:t>
      </w:r>
      <w:proofErr w:type="spellStart"/>
      <w:r>
        <w:t>posted</w:t>
      </w:r>
      <w:proofErr w:type="spellEnd"/>
      <w:r>
        <w:t xml:space="preserve"> to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undergo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abroad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caregivers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in </w:t>
      </w:r>
      <w:proofErr w:type="spellStart"/>
      <w:r>
        <w:t>employment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beginning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2024. </w:t>
      </w:r>
      <w:proofErr w:type="spellStart"/>
      <w:r>
        <w:t>According</w:t>
      </w:r>
      <w:proofErr w:type="spellEnd"/>
      <w:r>
        <w:t xml:space="preserve"> to SURS data,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6,900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posted</w:t>
      </w:r>
      <w:proofErr w:type="spellEnd"/>
      <w:r>
        <w:t xml:space="preserve"> to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undergo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abroad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2023.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most </w:t>
      </w:r>
      <w:proofErr w:type="spellStart"/>
      <w:r>
        <w:t>likely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in </w:t>
      </w:r>
      <w:proofErr w:type="spellStart"/>
      <w:r>
        <w:t>paid</w:t>
      </w:r>
      <w:proofErr w:type="spellEnd"/>
      <w:r>
        <w:t xml:space="preserve"> </w:t>
      </w:r>
      <w:proofErr w:type="spellStart"/>
      <w:r>
        <w:t>employment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existing</w:t>
      </w:r>
      <w:proofErr w:type="spellEnd"/>
      <w:r>
        <w:t xml:space="preserve"> </w:t>
      </w:r>
      <w:proofErr w:type="spellStart"/>
      <w:r>
        <w:t>insurance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</w:t>
      </w:r>
      <w:proofErr w:type="spellStart"/>
      <w:r>
        <w:t>expires</w:t>
      </w:r>
      <w:proofErr w:type="spellEnd"/>
      <w:r>
        <w:t xml:space="preserve"> (as </w:t>
      </w:r>
      <w:proofErr w:type="spellStart"/>
      <w:r>
        <w:t>of</w:t>
      </w:r>
      <w:proofErr w:type="spellEnd"/>
      <w:r>
        <w:t xml:space="preserve"> </w:t>
      </w:r>
      <w:proofErr w:type="spellStart"/>
      <w:r>
        <w:t>January</w:t>
      </w:r>
      <w:proofErr w:type="spellEnd"/>
      <w:r>
        <w:t xml:space="preserve"> 2024,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4,600 </w:t>
      </w:r>
      <w:proofErr w:type="spellStart"/>
      <w:r>
        <w:t>posted</w:t>
      </w:r>
      <w:proofErr w:type="spellEnd"/>
      <w:r>
        <w:t xml:space="preserve"> </w:t>
      </w:r>
      <w:proofErr w:type="spellStart"/>
      <w:r>
        <w:t>workers</w:t>
      </w:r>
      <w:proofErr w:type="spellEnd"/>
      <w:r>
        <w:t xml:space="preserve"> </w:t>
      </w:r>
      <w:proofErr w:type="spellStart"/>
      <w:r>
        <w:t>remaining</w:t>
      </w:r>
      <w:proofErr w:type="spellEnd"/>
      <w:r>
        <w:t xml:space="preserve">).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changed</w:t>
      </w:r>
      <w:proofErr w:type="spellEnd"/>
      <w:r>
        <w:t xml:space="preserve"> </w:t>
      </w:r>
      <w:proofErr w:type="spellStart"/>
      <w:r>
        <w:t>definition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largest</w:t>
      </w:r>
      <w:proofErr w:type="spellEnd"/>
      <w:r>
        <w:t xml:space="preserve"> in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nationals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SURS https://www.stat.si/StatWeb/en/news/Index/12740).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our</w:t>
      </w:r>
      <w:proofErr w:type="spellEnd"/>
      <w:r>
        <w:t xml:space="preserve"> </w:t>
      </w:r>
      <w:proofErr w:type="spellStart"/>
      <w:r>
        <w:t>estimate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changed</w:t>
      </w:r>
      <w:proofErr w:type="spellEnd"/>
      <w:r>
        <w:t xml:space="preserve"> </w:t>
      </w:r>
      <w:proofErr w:type="spellStart"/>
      <w:r>
        <w:t>definition</w:t>
      </w:r>
      <w:proofErr w:type="spellEnd"/>
      <w:r>
        <w:t xml:space="preserve"> </w:t>
      </w:r>
      <w:proofErr w:type="spellStart"/>
      <w:r>
        <w:t>contributed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a half to </w:t>
      </w:r>
      <w:proofErr w:type="spellStart"/>
      <w:r>
        <w:t>the</w:t>
      </w:r>
      <w:proofErr w:type="spellEnd"/>
      <w:r>
        <w:t xml:space="preserve"> total </w:t>
      </w:r>
      <w:proofErr w:type="spellStart"/>
      <w:r>
        <w:t>year</w:t>
      </w:r>
      <w:proofErr w:type="spellEnd"/>
      <w:r>
        <w:t>-on-</w:t>
      </w:r>
      <w:proofErr w:type="spellStart"/>
      <w:r>
        <w:t>year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in </w:t>
      </w:r>
      <w:proofErr w:type="spellStart"/>
      <w:r>
        <w:t>employment</w:t>
      </w:r>
      <w:proofErr w:type="spellEnd"/>
      <w:r>
        <w:t>.</w:t>
      </w:r>
    </w:p>
  </w:footnote>
  <w:footnote w:id="2">
    <w:p w14:paraId="49AD22F5" w14:textId="77777777" w:rsidR="00506A6D" w:rsidRPr="002C0443" w:rsidRDefault="00506A6D" w:rsidP="00506A6D">
      <w:pPr>
        <w:pStyle w:val="FootnoteText"/>
        <w:rPr>
          <w:szCs w:val="16"/>
        </w:rPr>
      </w:pPr>
      <w:r>
        <w:rPr>
          <w:rStyle w:val="FootnoteReference"/>
          <w:szCs w:val="16"/>
        </w:rPr>
        <w:footnoteRef/>
      </w:r>
      <w:r>
        <w:t xml:space="preserve"> </w:t>
      </w:r>
      <w:r>
        <w:t xml:space="preserve">SURS </w:t>
      </w:r>
      <w:proofErr w:type="spellStart"/>
      <w:r>
        <w:t>made</w:t>
      </w:r>
      <w:proofErr w:type="spellEnd"/>
      <w:r>
        <w:t xml:space="preserve"> a </w:t>
      </w:r>
      <w:proofErr w:type="spellStart"/>
      <w:r>
        <w:t>revision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data </w:t>
      </w:r>
      <w:proofErr w:type="spellStart"/>
      <w:r>
        <w:t>for</w:t>
      </w:r>
      <w:proofErr w:type="spellEnd"/>
      <w:r>
        <w:t xml:space="preserve"> 2023,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receiving</w:t>
      </w:r>
      <w:proofErr w:type="spellEnd"/>
      <w:r>
        <w:t xml:space="preserve"> data on a </w:t>
      </w:r>
      <w:proofErr w:type="spellStart"/>
      <w:r>
        <w:t>larger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sales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newly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 </w:t>
      </w:r>
      <w:proofErr w:type="spellStart"/>
      <w:r>
        <w:t>dwellings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transactions</w:t>
      </w:r>
      <w:proofErr w:type="spellEnd"/>
      <w:r>
        <w:t xml:space="preserve"> rose </w:t>
      </w:r>
      <w:proofErr w:type="spellStart"/>
      <w:r>
        <w:t>by</w:t>
      </w:r>
      <w:proofErr w:type="spellEnd"/>
      <w:r>
        <w:t xml:space="preserve"> 514 to 839 in 2023, </w:t>
      </w:r>
      <w:proofErr w:type="spellStart"/>
      <w:r>
        <w:t>almost</w:t>
      </w:r>
      <w:proofErr w:type="spellEnd"/>
      <w:r>
        <w:t xml:space="preserve"> half as </w:t>
      </w:r>
      <w:proofErr w:type="spellStart"/>
      <w:r>
        <w:t>many</w:t>
      </w:r>
      <w:proofErr w:type="spellEnd"/>
      <w:r>
        <w:t xml:space="preserve"> as in 2022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highest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2018.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06C5" w14:textId="124B102D" w:rsidR="00FE7254" w:rsidRDefault="00652795" w:rsidP="0051021F">
    <w:pPr>
      <w:spacing w:after="600"/>
      <w:jc w:val="right"/>
    </w:pPr>
    <w:r w:rsidRPr="0029405F">
      <w:rPr>
        <w:noProof/>
      </w:rPr>
      <w:drawing>
        <wp:anchor distT="0" distB="0" distL="114300" distR="114300" simplePos="0" relativeHeight="251672576" behindDoc="0" locked="0" layoutInCell="1" allowOverlap="1" wp14:anchorId="5B5C1A8D" wp14:editId="777383D6">
          <wp:simplePos x="0" y="0"/>
          <wp:positionH relativeFrom="column">
            <wp:posOffset>-306705</wp:posOffset>
          </wp:positionH>
          <wp:positionV relativeFrom="paragraph">
            <wp:posOffset>64135</wp:posOffset>
          </wp:positionV>
          <wp:extent cx="1155700" cy="1002030"/>
          <wp:effectExtent l="0" t="0" r="6350" b="7620"/>
          <wp:wrapTopAndBottom/>
          <wp:docPr id="17" name="Picture 17" descr="IMAD logoty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IMAD logotyp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700" cy="1002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5F4F">
      <w:t>1</w:t>
    </w:r>
    <w:r w:rsidR="00B10E3F">
      <w:t xml:space="preserve"> </w:t>
    </w:r>
    <w:proofErr w:type="spellStart"/>
    <w:r w:rsidR="007D5F4F">
      <w:t>July</w:t>
    </w:r>
    <w:proofErr w:type="spellEnd"/>
    <w:r w:rsidR="00CF2621">
      <w:t xml:space="preserve"> 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2DE5F" w14:textId="77777777" w:rsidR="00882CFE" w:rsidRDefault="00882CFE" w:rsidP="009F084A">
    <w:pPr>
      <w:pStyle w:val="GTBesedilo"/>
      <w:spacing w:line="240" w:lineRule="auto"/>
      <w:rPr>
        <w:b/>
        <w:iCs/>
        <w:szCs w:val="18"/>
      </w:rPr>
    </w:pPr>
    <w:bookmarkStart w:id="1" w:name="_Hlk166062673"/>
    <w:bookmarkStart w:id="2" w:name="_Hlk166062674"/>
    <w:r w:rsidRPr="00882CFE">
      <w:rPr>
        <w:b/>
        <w:iCs/>
        <w:szCs w:val="18"/>
      </w:rPr>
      <w:t xml:space="preserve">Table: </w:t>
    </w:r>
    <w:proofErr w:type="spellStart"/>
    <w:r w:rsidRPr="00882CFE">
      <w:rPr>
        <w:b/>
        <w:iCs/>
        <w:szCs w:val="18"/>
      </w:rPr>
      <w:t>Selected</w:t>
    </w:r>
    <w:proofErr w:type="spellEnd"/>
    <w:r w:rsidRPr="00882CFE">
      <w:rPr>
        <w:b/>
        <w:iCs/>
        <w:szCs w:val="18"/>
      </w:rPr>
      <w:t xml:space="preserve"> </w:t>
    </w:r>
    <w:proofErr w:type="spellStart"/>
    <w:r w:rsidRPr="00882CFE">
      <w:rPr>
        <w:b/>
        <w:iCs/>
        <w:szCs w:val="18"/>
      </w:rPr>
      <w:t>macroeconomic</w:t>
    </w:r>
    <w:proofErr w:type="spellEnd"/>
    <w:r w:rsidRPr="00882CFE">
      <w:rPr>
        <w:b/>
        <w:iCs/>
        <w:szCs w:val="18"/>
      </w:rPr>
      <w:t xml:space="preserve"> </w:t>
    </w:r>
    <w:proofErr w:type="spellStart"/>
    <w:r w:rsidRPr="00882CFE">
      <w:rPr>
        <w:b/>
        <w:iCs/>
        <w:szCs w:val="18"/>
      </w:rPr>
      <w:t>indicators</w:t>
    </w:r>
    <w:proofErr w:type="spellEnd"/>
    <w:r w:rsidRPr="00882CFE">
      <w:rPr>
        <w:b/>
        <w:iCs/>
        <w:szCs w:val="18"/>
      </w:rPr>
      <w:t xml:space="preserve"> </w:t>
    </w:r>
    <w:proofErr w:type="spellStart"/>
    <w:r w:rsidRPr="00882CFE">
      <w:rPr>
        <w:b/>
        <w:iCs/>
        <w:szCs w:val="18"/>
      </w:rPr>
      <w:t>for</w:t>
    </w:r>
    <w:proofErr w:type="spellEnd"/>
    <w:r w:rsidRPr="00882CFE">
      <w:rPr>
        <w:b/>
        <w:iCs/>
        <w:szCs w:val="18"/>
      </w:rPr>
      <w:t xml:space="preserve"> </w:t>
    </w:r>
    <w:proofErr w:type="spellStart"/>
    <w:r w:rsidRPr="00882CFE">
      <w:rPr>
        <w:b/>
        <w:iCs/>
        <w:szCs w:val="18"/>
      </w:rPr>
      <w:t>Slovenia</w:t>
    </w:r>
    <w:proofErr w:type="spellEnd"/>
  </w:p>
  <w:bookmarkEnd w:id="1"/>
  <w:bookmarkEnd w:id="2"/>
  <w:p w14:paraId="39E9C771" w14:textId="77777777" w:rsidR="00892A1A" w:rsidRPr="00A96B65" w:rsidRDefault="00882CFE" w:rsidP="009F084A">
    <w:pPr>
      <w:pStyle w:val="GTBesedilo"/>
      <w:spacing w:before="40" w:line="240" w:lineRule="auto"/>
      <w:rPr>
        <w:b/>
        <w:sz w:val="16"/>
        <w:szCs w:val="18"/>
      </w:rPr>
    </w:pPr>
    <w:proofErr w:type="spellStart"/>
    <w:r w:rsidRPr="00882CFE">
      <w:rPr>
        <w:sz w:val="16"/>
        <w:szCs w:val="18"/>
      </w:rPr>
      <w:t>The</w:t>
    </w:r>
    <w:proofErr w:type="spellEnd"/>
    <w:r w:rsidRPr="00882CFE">
      <w:rPr>
        <w:sz w:val="16"/>
        <w:szCs w:val="18"/>
      </w:rPr>
      <w:t xml:space="preserve"> table format </w:t>
    </w:r>
    <w:proofErr w:type="spellStart"/>
    <w:r w:rsidRPr="00882CFE">
      <w:rPr>
        <w:sz w:val="16"/>
        <w:szCs w:val="18"/>
      </w:rPr>
      <w:t>accessible</w:t>
    </w:r>
    <w:proofErr w:type="spellEnd"/>
    <w:r w:rsidRPr="00882CFE">
      <w:rPr>
        <w:sz w:val="16"/>
        <w:szCs w:val="18"/>
      </w:rPr>
      <w:t xml:space="preserve"> to </w:t>
    </w:r>
    <w:proofErr w:type="spellStart"/>
    <w:r w:rsidRPr="00882CFE">
      <w:rPr>
        <w:sz w:val="16"/>
        <w:szCs w:val="18"/>
      </w:rPr>
      <w:t>screen</w:t>
    </w:r>
    <w:proofErr w:type="spellEnd"/>
    <w:r w:rsidRPr="00882CFE">
      <w:rPr>
        <w:sz w:val="16"/>
        <w:szCs w:val="18"/>
      </w:rPr>
      <w:t xml:space="preserve"> </w:t>
    </w:r>
    <w:proofErr w:type="spellStart"/>
    <w:r w:rsidRPr="00882CFE">
      <w:rPr>
        <w:sz w:val="16"/>
        <w:szCs w:val="18"/>
      </w:rPr>
      <w:t>reader</w:t>
    </w:r>
    <w:proofErr w:type="spellEnd"/>
    <w:r w:rsidRPr="00882CFE">
      <w:rPr>
        <w:sz w:val="16"/>
        <w:szCs w:val="18"/>
      </w:rPr>
      <w:t xml:space="preserve"> </w:t>
    </w:r>
    <w:proofErr w:type="spellStart"/>
    <w:r w:rsidRPr="00882CFE">
      <w:rPr>
        <w:sz w:val="16"/>
        <w:szCs w:val="18"/>
      </w:rPr>
      <w:t>users</w:t>
    </w:r>
    <w:proofErr w:type="spellEnd"/>
    <w:r w:rsidRPr="00882CFE">
      <w:rPr>
        <w:sz w:val="16"/>
        <w:szCs w:val="18"/>
      </w:rPr>
      <w:t xml:space="preserve"> </w:t>
    </w:r>
    <w:proofErr w:type="spellStart"/>
    <w:r w:rsidRPr="00882CFE">
      <w:rPr>
        <w:sz w:val="16"/>
        <w:szCs w:val="18"/>
      </w:rPr>
      <w:t>can</w:t>
    </w:r>
    <w:proofErr w:type="spellEnd"/>
    <w:r w:rsidRPr="00882CFE">
      <w:rPr>
        <w:sz w:val="16"/>
        <w:szCs w:val="18"/>
      </w:rPr>
      <w:t xml:space="preserve"> be </w:t>
    </w:r>
    <w:proofErr w:type="spellStart"/>
    <w:r w:rsidRPr="00882CFE">
      <w:rPr>
        <w:sz w:val="16"/>
        <w:szCs w:val="18"/>
      </w:rPr>
      <w:t>found</w:t>
    </w:r>
    <w:proofErr w:type="spellEnd"/>
    <w:r w:rsidRPr="00882CFE">
      <w:rPr>
        <w:sz w:val="16"/>
        <w:szCs w:val="18"/>
      </w:rPr>
      <w:t xml:space="preserve"> on </w:t>
    </w:r>
    <w:proofErr w:type="spellStart"/>
    <w:r w:rsidRPr="00882CFE">
      <w:rPr>
        <w:sz w:val="16"/>
        <w:szCs w:val="18"/>
      </w:rPr>
      <w:t>the</w:t>
    </w:r>
    <w:proofErr w:type="spellEnd"/>
    <w:r w:rsidRPr="00882CFE">
      <w:rPr>
        <w:sz w:val="16"/>
        <w:szCs w:val="18"/>
      </w:rPr>
      <w:t xml:space="preserve"> IMAD </w:t>
    </w:r>
    <w:proofErr w:type="spellStart"/>
    <w:r w:rsidRPr="00882CFE">
      <w:rPr>
        <w:sz w:val="16"/>
        <w:szCs w:val="18"/>
      </w:rPr>
      <w:t>website</w:t>
    </w:r>
    <w:proofErr w:type="spellEnd"/>
    <w:r w:rsidRPr="00882CFE">
      <w:rPr>
        <w:sz w:val="16"/>
        <w:szCs w:val="18"/>
      </w:rPr>
      <w:t xml:space="preserve"> </w:t>
    </w:r>
    <w:proofErr w:type="spellStart"/>
    <w:r w:rsidRPr="00882CFE">
      <w:rPr>
        <w:sz w:val="16"/>
        <w:szCs w:val="18"/>
      </w:rPr>
      <w:t>among</w:t>
    </w:r>
    <w:proofErr w:type="spellEnd"/>
    <w:r w:rsidRPr="00882CFE">
      <w:rPr>
        <w:sz w:val="16"/>
        <w:szCs w:val="18"/>
      </w:rPr>
      <w:t xml:space="preserve"> </w:t>
    </w:r>
    <w:proofErr w:type="spellStart"/>
    <w:r w:rsidRPr="00882CFE">
      <w:rPr>
        <w:sz w:val="16"/>
        <w:szCs w:val="18"/>
      </w:rPr>
      <w:t>the</w:t>
    </w:r>
    <w:proofErr w:type="spellEnd"/>
    <w:r w:rsidRPr="00882CFE">
      <w:rPr>
        <w:sz w:val="16"/>
        <w:szCs w:val="18"/>
      </w:rPr>
      <w:t xml:space="preserve"> </w:t>
    </w:r>
    <w:proofErr w:type="spellStart"/>
    <w:r w:rsidRPr="00882CFE">
      <w:rPr>
        <w:sz w:val="16"/>
        <w:szCs w:val="18"/>
      </w:rPr>
      <w:t>appendices</w:t>
    </w:r>
    <w:proofErr w:type="spellEnd"/>
    <w:r w:rsidRPr="00882CFE">
      <w:rPr>
        <w:sz w:val="16"/>
        <w:szCs w:val="18"/>
      </w:rPr>
      <w:t xml:space="preserve"> to </w:t>
    </w:r>
    <w:proofErr w:type="spellStart"/>
    <w:r w:rsidRPr="00882CFE">
      <w:rPr>
        <w:sz w:val="16"/>
        <w:szCs w:val="18"/>
      </w:rPr>
      <w:t>the</w:t>
    </w:r>
    <w:proofErr w:type="spellEnd"/>
    <w:r w:rsidRPr="00882CFE">
      <w:rPr>
        <w:sz w:val="16"/>
        <w:szCs w:val="18"/>
      </w:rPr>
      <w:t xml:space="preserve"> </w:t>
    </w:r>
    <w:proofErr w:type="spellStart"/>
    <w:r w:rsidRPr="00882CFE">
      <w:rPr>
        <w:sz w:val="16"/>
        <w:szCs w:val="18"/>
      </w:rPr>
      <w:t>current</w:t>
    </w:r>
    <w:proofErr w:type="spellEnd"/>
    <w:r w:rsidRPr="00882CFE">
      <w:rPr>
        <w:sz w:val="16"/>
        <w:szCs w:val="18"/>
      </w:rPr>
      <w:t xml:space="preserve"> </w:t>
    </w:r>
    <w:proofErr w:type="spellStart"/>
    <w:r>
      <w:rPr>
        <w:sz w:val="16"/>
        <w:szCs w:val="18"/>
      </w:rPr>
      <w:t>charts</w:t>
    </w:r>
    <w:proofErr w:type="spellEnd"/>
    <w:r w:rsidRPr="00882CFE">
      <w:rPr>
        <w:sz w:val="16"/>
        <w:szCs w:val="18"/>
      </w:rPr>
      <w:t xml:space="preserve"> </w:t>
    </w:r>
    <w:proofErr w:type="spellStart"/>
    <w:r w:rsidRPr="00882CFE">
      <w:rPr>
        <w:sz w:val="16"/>
        <w:szCs w:val="18"/>
      </w:rPr>
      <w:t>of</w:t>
    </w:r>
    <w:proofErr w:type="spellEnd"/>
    <w:r w:rsidRPr="00882CFE">
      <w:rPr>
        <w:sz w:val="16"/>
        <w:szCs w:val="18"/>
      </w:rPr>
      <w:t xml:space="preserve"> </w:t>
    </w:r>
    <w:proofErr w:type="spellStart"/>
    <w:r w:rsidRPr="00882CFE">
      <w:rPr>
        <w:sz w:val="16"/>
        <w:szCs w:val="18"/>
      </w:rPr>
      <w:t>the</w:t>
    </w:r>
    <w:proofErr w:type="spellEnd"/>
    <w:r w:rsidRPr="00882CFE">
      <w:rPr>
        <w:sz w:val="16"/>
        <w:szCs w:val="18"/>
      </w:rPr>
      <w:t xml:space="preserve"> </w:t>
    </w:r>
    <w:proofErr w:type="spellStart"/>
    <w:r w:rsidRPr="00882CFE">
      <w:rPr>
        <w:sz w:val="16"/>
        <w:szCs w:val="18"/>
      </w:rPr>
      <w:t>week</w:t>
    </w:r>
    <w:proofErr w:type="spellEnd"/>
    <w:r>
      <w:rPr>
        <w:sz w:val="16"/>
        <w:szCs w:val="1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4.25pt;height:19.5pt;visibility:visible;mso-wrap-style:square" o:bullet="t">
        <v:imagedata r:id="rId1" o:title=""/>
      </v:shape>
    </w:pict>
  </w:numPicBullet>
  <w:abstractNum w:abstractNumId="0" w15:restartNumberingAfterBreak="0">
    <w:nsid w:val="3CF54D5F"/>
    <w:multiLevelType w:val="hybridMultilevel"/>
    <w:tmpl w:val="20862290"/>
    <w:lvl w:ilvl="0" w:tplc="63DA21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C16DD"/>
    <w:multiLevelType w:val="hybridMultilevel"/>
    <w:tmpl w:val="56B4C2AA"/>
    <w:lvl w:ilvl="0" w:tplc="B0B23E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BC04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A837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3E91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D01B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26F3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E0C0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E484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94F1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61379551">
    <w:abstractNumId w:val="0"/>
  </w:num>
  <w:num w:numId="2" w16cid:durableId="203563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70"/>
  <w:hyphenationZone w:val="425"/>
  <w:drawingGridHorizontalSpacing w:val="4933"/>
  <w:drawingGridVerticalSpacing w:val="3118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F4F"/>
    <w:rsid w:val="00001002"/>
    <w:rsid w:val="000703C7"/>
    <w:rsid w:val="00070B6E"/>
    <w:rsid w:val="00077F13"/>
    <w:rsid w:val="000A5A42"/>
    <w:rsid w:val="000A5EE8"/>
    <w:rsid w:val="000A7BDC"/>
    <w:rsid w:val="00115E8D"/>
    <w:rsid w:val="001173F2"/>
    <w:rsid w:val="00123D52"/>
    <w:rsid w:val="00133E20"/>
    <w:rsid w:val="0019138D"/>
    <w:rsid w:val="001A0C98"/>
    <w:rsid w:val="001B6AE7"/>
    <w:rsid w:val="001D6793"/>
    <w:rsid w:val="001F51CD"/>
    <w:rsid w:val="00243593"/>
    <w:rsid w:val="0026509A"/>
    <w:rsid w:val="0029405F"/>
    <w:rsid w:val="002B4319"/>
    <w:rsid w:val="002B4C3A"/>
    <w:rsid w:val="002B5361"/>
    <w:rsid w:val="002D46EF"/>
    <w:rsid w:val="002E69B6"/>
    <w:rsid w:val="002E6FAD"/>
    <w:rsid w:val="002F2859"/>
    <w:rsid w:val="00306767"/>
    <w:rsid w:val="00312D09"/>
    <w:rsid w:val="00363E63"/>
    <w:rsid w:val="003A49D8"/>
    <w:rsid w:val="003C614E"/>
    <w:rsid w:val="0040630F"/>
    <w:rsid w:val="0040719E"/>
    <w:rsid w:val="00415DC9"/>
    <w:rsid w:val="00431EDD"/>
    <w:rsid w:val="004368FB"/>
    <w:rsid w:val="00452589"/>
    <w:rsid w:val="00452804"/>
    <w:rsid w:val="00464D01"/>
    <w:rsid w:val="00476FBA"/>
    <w:rsid w:val="00477274"/>
    <w:rsid w:val="004970E5"/>
    <w:rsid w:val="00506A6D"/>
    <w:rsid w:val="0051021F"/>
    <w:rsid w:val="00534457"/>
    <w:rsid w:val="00546DBF"/>
    <w:rsid w:val="00561C9A"/>
    <w:rsid w:val="006269CE"/>
    <w:rsid w:val="0063497B"/>
    <w:rsid w:val="006359FE"/>
    <w:rsid w:val="00650921"/>
    <w:rsid w:val="00652795"/>
    <w:rsid w:val="00654021"/>
    <w:rsid w:val="00671853"/>
    <w:rsid w:val="006875F1"/>
    <w:rsid w:val="006965FC"/>
    <w:rsid w:val="006A6820"/>
    <w:rsid w:val="006C2117"/>
    <w:rsid w:val="006E1C81"/>
    <w:rsid w:val="007016EF"/>
    <w:rsid w:val="00731B6F"/>
    <w:rsid w:val="0074452D"/>
    <w:rsid w:val="0074466E"/>
    <w:rsid w:val="0077695F"/>
    <w:rsid w:val="0079410F"/>
    <w:rsid w:val="007A0B59"/>
    <w:rsid w:val="007B7110"/>
    <w:rsid w:val="007B7A48"/>
    <w:rsid w:val="007D0791"/>
    <w:rsid w:val="007D5F4F"/>
    <w:rsid w:val="007F1307"/>
    <w:rsid w:val="007F5D01"/>
    <w:rsid w:val="00812D81"/>
    <w:rsid w:val="00860582"/>
    <w:rsid w:val="00882CFE"/>
    <w:rsid w:val="00887D7E"/>
    <w:rsid w:val="0089259B"/>
    <w:rsid w:val="00892A1A"/>
    <w:rsid w:val="008E369F"/>
    <w:rsid w:val="00910265"/>
    <w:rsid w:val="0093604B"/>
    <w:rsid w:val="00946C4C"/>
    <w:rsid w:val="009655D3"/>
    <w:rsid w:val="009918B9"/>
    <w:rsid w:val="009A1E12"/>
    <w:rsid w:val="009C4D53"/>
    <w:rsid w:val="009D311B"/>
    <w:rsid w:val="009F084A"/>
    <w:rsid w:val="00A072AA"/>
    <w:rsid w:val="00A107AD"/>
    <w:rsid w:val="00A35FCE"/>
    <w:rsid w:val="00A42839"/>
    <w:rsid w:val="00A7050D"/>
    <w:rsid w:val="00A8329F"/>
    <w:rsid w:val="00A96B65"/>
    <w:rsid w:val="00AA1F25"/>
    <w:rsid w:val="00AB0C65"/>
    <w:rsid w:val="00AC328B"/>
    <w:rsid w:val="00AE71DF"/>
    <w:rsid w:val="00AF3058"/>
    <w:rsid w:val="00B00E5E"/>
    <w:rsid w:val="00B10E3F"/>
    <w:rsid w:val="00B220A3"/>
    <w:rsid w:val="00B451B6"/>
    <w:rsid w:val="00B52F7E"/>
    <w:rsid w:val="00B738F6"/>
    <w:rsid w:val="00B8300F"/>
    <w:rsid w:val="00BB6DF6"/>
    <w:rsid w:val="00BF2574"/>
    <w:rsid w:val="00C80811"/>
    <w:rsid w:val="00CB09C0"/>
    <w:rsid w:val="00CF2621"/>
    <w:rsid w:val="00CF6407"/>
    <w:rsid w:val="00D312B6"/>
    <w:rsid w:val="00D474DB"/>
    <w:rsid w:val="00DB1C32"/>
    <w:rsid w:val="00DC2098"/>
    <w:rsid w:val="00DE2EA9"/>
    <w:rsid w:val="00DE4ACB"/>
    <w:rsid w:val="00DE72F6"/>
    <w:rsid w:val="00DF3707"/>
    <w:rsid w:val="00DF4F0B"/>
    <w:rsid w:val="00E02749"/>
    <w:rsid w:val="00E7791D"/>
    <w:rsid w:val="00E911E5"/>
    <w:rsid w:val="00EB6149"/>
    <w:rsid w:val="00EE7E6E"/>
    <w:rsid w:val="00F14FF8"/>
    <w:rsid w:val="00F409C1"/>
    <w:rsid w:val="00F41E1A"/>
    <w:rsid w:val="00F43F6C"/>
    <w:rsid w:val="00F47B15"/>
    <w:rsid w:val="00F545EF"/>
    <w:rsid w:val="00F65156"/>
    <w:rsid w:val="00F66E1B"/>
    <w:rsid w:val="00F930F6"/>
    <w:rsid w:val="00FA45E3"/>
    <w:rsid w:val="00FB5533"/>
    <w:rsid w:val="00FE12B1"/>
    <w:rsid w:val="00FE7254"/>
    <w:rsid w:val="00FF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,"/>
  <w:listSeparator w:val=";"/>
  <w14:docId w14:val="7BFE5C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96B65"/>
    <w:pPr>
      <w:spacing w:after="0" w:line="250" w:lineRule="atLeast"/>
      <w:jc w:val="both"/>
    </w:pPr>
    <w:rPr>
      <w:rFonts w:ascii="Myriad Pro" w:hAnsi="Myriad Pro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4063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6001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4063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60013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Caption_GT_Naslov grafa"/>
    <w:basedOn w:val="GTBesedilo"/>
    <w:next w:val="Normal"/>
    <w:unhideWhenUsed/>
    <w:qFormat/>
    <w:rsid w:val="008E369F"/>
    <w:pPr>
      <w:spacing w:line="240" w:lineRule="auto"/>
    </w:pPr>
    <w:rPr>
      <w:b/>
      <w:iCs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E369F"/>
  </w:style>
  <w:style w:type="character" w:customStyle="1" w:styleId="Heading1Char">
    <w:name w:val="Heading 1 Char"/>
    <w:basedOn w:val="DefaultParagraphFont"/>
    <w:link w:val="Heading1"/>
    <w:uiPriority w:val="9"/>
    <w:rsid w:val="0040630F"/>
    <w:rPr>
      <w:rFonts w:asciiTheme="majorHAnsi" w:eastAsiaTheme="majorEastAsia" w:hAnsiTheme="majorHAnsi" w:cstheme="majorBidi"/>
      <w:color w:val="760013" w:themeColor="accent1" w:themeShade="BF"/>
      <w:sz w:val="32"/>
      <w:szCs w:val="32"/>
    </w:rPr>
  </w:style>
  <w:style w:type="paragraph" w:customStyle="1" w:styleId="Naslov11">
    <w:name w:val="Naslov 11"/>
    <w:basedOn w:val="Normal"/>
    <w:link w:val="Naslov1Char"/>
    <w:rsid w:val="00812D81"/>
    <w:pPr>
      <w:spacing w:line="360" w:lineRule="exact"/>
    </w:pPr>
    <w:rPr>
      <w:b/>
      <w:sz w:val="32"/>
      <w:szCs w:val="36"/>
    </w:rPr>
  </w:style>
  <w:style w:type="paragraph" w:customStyle="1" w:styleId="GTNaslov1">
    <w:name w:val="GT_Naslov 1"/>
    <w:basedOn w:val="Heading1"/>
    <w:link w:val="GTNaslov1Znak"/>
    <w:qFormat/>
    <w:rsid w:val="0040630F"/>
    <w:pPr>
      <w:spacing w:before="0" w:line="240" w:lineRule="auto"/>
    </w:pPr>
    <w:rPr>
      <w:rFonts w:ascii="Myriad Pro" w:hAnsi="Myriad Pro"/>
      <w:b/>
      <w:color w:val="auto"/>
      <w:szCs w:val="36"/>
    </w:rPr>
  </w:style>
  <w:style w:type="character" w:customStyle="1" w:styleId="Naslov1Char">
    <w:name w:val="Naslov 1 Char"/>
    <w:basedOn w:val="DefaultParagraphFont"/>
    <w:link w:val="Naslov11"/>
    <w:rsid w:val="00812D81"/>
    <w:rPr>
      <w:rFonts w:ascii="Myriad Pro" w:hAnsi="Myriad Pro"/>
      <w:b/>
      <w:sz w:val="32"/>
      <w:szCs w:val="36"/>
    </w:rPr>
  </w:style>
  <w:style w:type="paragraph" w:customStyle="1" w:styleId="GTNaslovgrafa">
    <w:name w:val="GT_Naslov grafa"/>
    <w:basedOn w:val="Heading2"/>
    <w:link w:val="GTNaslovgrafaZnak"/>
    <w:rsid w:val="0040630F"/>
    <w:pPr>
      <w:spacing w:before="0" w:line="240" w:lineRule="auto"/>
    </w:pPr>
    <w:rPr>
      <w:rFonts w:ascii="Myriad Pro" w:hAnsi="Myriad Pro"/>
      <w:b/>
      <w:color w:val="auto"/>
      <w:sz w:val="20"/>
    </w:rPr>
  </w:style>
  <w:style w:type="character" w:customStyle="1" w:styleId="GTNaslov1Znak">
    <w:name w:val="GT_Naslov 1 Znak"/>
    <w:basedOn w:val="DefaultParagraphFont"/>
    <w:link w:val="GTNaslov1"/>
    <w:rsid w:val="0040630F"/>
    <w:rPr>
      <w:rFonts w:ascii="Myriad Pro" w:eastAsiaTheme="majorEastAsia" w:hAnsi="Myriad Pro" w:cstheme="majorBidi"/>
      <w:b/>
      <w:sz w:val="32"/>
      <w:szCs w:val="36"/>
    </w:rPr>
  </w:style>
  <w:style w:type="character" w:customStyle="1" w:styleId="GTNaslovgrafaZnak">
    <w:name w:val="GT_Naslov grafa Znak"/>
    <w:basedOn w:val="DefaultParagraphFont"/>
    <w:link w:val="GTNaslovgrafa"/>
    <w:rsid w:val="0040630F"/>
    <w:rPr>
      <w:rFonts w:ascii="Myriad Pro" w:eastAsiaTheme="majorEastAsia" w:hAnsi="Myriad Pro" w:cstheme="majorBidi"/>
      <w:b/>
      <w:sz w:val="20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7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49"/>
    <w:rPr>
      <w:rFonts w:ascii="Segoe UI" w:hAnsi="Segoe UI" w:cs="Segoe UI"/>
      <w:sz w:val="18"/>
      <w:szCs w:val="18"/>
    </w:rPr>
  </w:style>
  <w:style w:type="paragraph" w:customStyle="1" w:styleId="Uvod">
    <w:name w:val="Uvod"/>
    <w:basedOn w:val="GTNaslovgrafa"/>
    <w:link w:val="UvodChar"/>
    <w:rsid w:val="00E02749"/>
    <w:pPr>
      <w:spacing w:after="160"/>
    </w:pPr>
  </w:style>
  <w:style w:type="character" w:customStyle="1" w:styleId="UvodChar">
    <w:name w:val="Uvod Char"/>
    <w:basedOn w:val="GTNaslovgrafaZnak"/>
    <w:link w:val="Uvod"/>
    <w:rsid w:val="00E02749"/>
    <w:rPr>
      <w:rFonts w:ascii="Myriad Pro" w:eastAsiaTheme="majorEastAsia" w:hAnsi="Myriad Pro" w:cstheme="majorBidi"/>
      <w:b/>
      <w:sz w:val="21"/>
      <w:szCs w:val="26"/>
    </w:rPr>
  </w:style>
  <w:style w:type="table" w:styleId="TableGrid">
    <w:name w:val="Table Grid"/>
    <w:basedOn w:val="TableNormal"/>
    <w:uiPriority w:val="39"/>
    <w:rsid w:val="006E1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3E63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7254"/>
    <w:pPr>
      <w:spacing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7254"/>
    <w:rPr>
      <w:rFonts w:ascii="Myriad Pro" w:hAnsi="Myriad Pro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725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3A49D8"/>
    <w:rPr>
      <w:color w:val="605E5C"/>
      <w:shd w:val="clear" w:color="auto" w:fill="E1DFDD"/>
    </w:rPr>
  </w:style>
  <w:style w:type="paragraph" w:customStyle="1" w:styleId="GTBesedilo">
    <w:name w:val="GT_Besedilo"/>
    <w:basedOn w:val="Normal"/>
    <w:link w:val="GTBesediloZnak"/>
    <w:qFormat/>
    <w:rsid w:val="0040630F"/>
  </w:style>
  <w:style w:type="character" w:customStyle="1" w:styleId="GTBesediloZnak">
    <w:name w:val="GT_Besedilo Znak"/>
    <w:basedOn w:val="DefaultParagraphFont"/>
    <w:link w:val="GTBesedilo"/>
    <w:rsid w:val="0040630F"/>
    <w:rPr>
      <w:rFonts w:ascii="Myriad Pro" w:hAnsi="Myriad Pro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630F"/>
    <w:rPr>
      <w:rFonts w:asciiTheme="majorHAnsi" w:eastAsiaTheme="majorEastAsia" w:hAnsiTheme="majorHAnsi" w:cstheme="majorBidi"/>
      <w:color w:val="760013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C4D53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D53"/>
    <w:rPr>
      <w:rFonts w:ascii="Myriad Pro" w:hAnsi="Myriad Pro"/>
      <w:sz w:val="20"/>
    </w:rPr>
  </w:style>
  <w:style w:type="paragraph" w:styleId="Footer">
    <w:name w:val="footer"/>
    <w:basedOn w:val="Normal"/>
    <w:link w:val="FooterChar"/>
    <w:uiPriority w:val="99"/>
    <w:unhideWhenUsed/>
    <w:rsid w:val="009C4D5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D53"/>
    <w:rPr>
      <w:rFonts w:ascii="Myriad Pro" w:hAnsi="Myriad Pro"/>
      <w:sz w:val="20"/>
    </w:rPr>
  </w:style>
  <w:style w:type="character" w:customStyle="1" w:styleId="A0">
    <w:name w:val="A0"/>
    <w:uiPriority w:val="99"/>
    <w:rsid w:val="00506A6D"/>
    <w:rPr>
      <w:rFonts w:cs="Myriad Pro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UMAR tema_word">
  <a:themeElements>
    <a:clrScheme name="UMAR barve">
      <a:dk1>
        <a:sysClr val="windowText" lastClr="000000"/>
      </a:dk1>
      <a:lt1>
        <a:sysClr val="window" lastClr="FFFFFF"/>
      </a:lt1>
      <a:dk2>
        <a:srgbClr val="44546A"/>
      </a:dk2>
      <a:lt2>
        <a:srgbClr val="DBDBDB"/>
      </a:lt2>
      <a:accent1>
        <a:srgbClr val="9E001A"/>
      </a:accent1>
      <a:accent2>
        <a:srgbClr val="D99694"/>
      </a:accent2>
      <a:accent3>
        <a:srgbClr val="A6A6A6"/>
      </a:accent3>
      <a:accent4>
        <a:srgbClr val="54A4A3"/>
      </a:accent4>
      <a:accent5>
        <a:srgbClr val="BBD2B0"/>
      </a:accent5>
      <a:accent6>
        <a:srgbClr val="6F3B66"/>
      </a:accent6>
      <a:hlink>
        <a:srgbClr val="0563C1"/>
      </a:hlink>
      <a:folHlink>
        <a:srgbClr val="954F72"/>
      </a:folHlink>
    </a:clrScheme>
    <a:fontScheme name="UMAR pisav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40BA8-4A26-4B37-ADB0-9877055A0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2024-06-28T11:38:00Z</dcterms:created>
  <dcterms:modified xsi:type="dcterms:W3CDTF">2024-07-02T10:52:00Z</dcterms:modified>
</cp:coreProperties>
</file>