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2C0C9" w14:textId="77777777" w:rsidR="00415DC9" w:rsidRPr="00AE1241" w:rsidRDefault="00415DC9" w:rsidP="001D6793">
      <w:pPr>
        <w:pStyle w:val="GTNaslov1"/>
        <w:rPr>
          <w:b w:val="0"/>
        </w:rPr>
      </w:pPr>
      <w:r w:rsidRPr="00AE1241">
        <w:t>CHARTS OF THE WEEK</w:t>
      </w:r>
    </w:p>
    <w:p w14:paraId="179AC393" w14:textId="7165A2FC" w:rsidR="001D6793" w:rsidRPr="00AE1241" w:rsidRDefault="00415DC9" w:rsidP="001D6793">
      <w:pPr>
        <w:pStyle w:val="GTNaslov1"/>
        <w:rPr>
          <w:b w:val="0"/>
          <w:bCs/>
        </w:rPr>
      </w:pPr>
      <w:r w:rsidRPr="00AE1241">
        <w:rPr>
          <w:b w:val="0"/>
        </w:rPr>
        <w:t>13–17 May 2024</w:t>
      </w:r>
    </w:p>
    <w:p w14:paraId="274DAF1A" w14:textId="77777777" w:rsidR="00DF4F0B" w:rsidRPr="00AE1241" w:rsidRDefault="00DF4F0B"/>
    <w:p w14:paraId="0649F751" w14:textId="77777777" w:rsidR="006A1853" w:rsidRPr="00AE1241" w:rsidRDefault="006A1853"/>
    <w:p w14:paraId="05716E97" w14:textId="15F6AF45" w:rsidR="001F6CD4" w:rsidRPr="00AE1241" w:rsidRDefault="007D0087" w:rsidP="00322AFF">
      <w:pPr>
        <w:pStyle w:val="GTBesedilo"/>
      </w:pPr>
      <w:bookmarkStart w:id="0" w:name="_Hlk54096721"/>
      <w:r w:rsidRPr="00AE1241">
        <w:t xml:space="preserve">In the first quarter of this year, year-on-year economic growth (2.1%) was similar to that recorded in the fourth quarter of last year, supported by private and government consumption. Investment activity, which experienced significant growth last year, has weakened, total exports remained </w:t>
      </w:r>
      <w:r w:rsidR="00970D7B">
        <w:t>negative</w:t>
      </w:r>
      <w:r w:rsidR="00970D7B" w:rsidRPr="00AE1241">
        <w:t xml:space="preserve"> </w:t>
      </w:r>
      <w:r w:rsidRPr="00AE1241">
        <w:t xml:space="preserve">year-on-year and goods exports exceeded last year’s level. </w:t>
      </w:r>
      <w:bookmarkEnd w:id="0"/>
      <w:r w:rsidRPr="00AE1241">
        <w:t>Growth in the nominal value of fiscally verified invoices, which was around 4% last month, suggests that year-on-year growth of private consumption continued into the second quarter. In the first quarter, the year-on-year growth in the number of persons in employment (around 1.4%) was higher than in the final months of last year due to a methodological change. This continued to be driven by a higher number of foreigners in employment, particularly in construction, transportation and storage, and administrative and support service activities.</w:t>
      </w:r>
      <w:r w:rsidRPr="00AE1241">
        <w:rPr>
          <w:color w:val="000000" w:themeColor="text1"/>
        </w:rPr>
        <w:t xml:space="preserve"> </w:t>
      </w:r>
      <w:r w:rsidRPr="00AE1241">
        <w:rPr>
          <w:rStyle w:val="Krepko"/>
          <w:b w:val="0"/>
        </w:rPr>
        <w:t>The current account surplus further increased year-on-year in the first quarter, mainly due to the goods balance.</w:t>
      </w:r>
      <w:r w:rsidRPr="00AE1241">
        <w:rPr>
          <w:color w:val="000000" w:themeColor="text1"/>
        </w:rPr>
        <w:t xml:space="preserve"> </w:t>
      </w:r>
      <w:r w:rsidRPr="00AE1241">
        <w:t>With more working days this April, the year-on-year decline of electricity consumption in the distribution network was slightly lower than in previous few months.</w:t>
      </w:r>
      <w:r w:rsidRPr="00AE1241">
        <w:rPr>
          <w:rStyle w:val="Krepko"/>
          <w:b w:val="0"/>
        </w:rPr>
        <w:t xml:space="preserve"> </w:t>
      </w:r>
    </w:p>
    <w:p w14:paraId="1B578692" w14:textId="77777777" w:rsidR="00D4070B" w:rsidRPr="00AE1241" w:rsidRDefault="00D4070B" w:rsidP="001F6CD4">
      <w:pPr>
        <w:tabs>
          <w:tab w:val="left" w:pos="580"/>
        </w:tabs>
      </w:pPr>
    </w:p>
    <w:p w14:paraId="29EC8101" w14:textId="77777777" w:rsidR="00D4070B" w:rsidRPr="00AE1241" w:rsidRDefault="00D4070B" w:rsidP="001F6CD4">
      <w:pPr>
        <w:tabs>
          <w:tab w:val="left" w:pos="580"/>
        </w:tabs>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57" w:type="dxa"/>
          <w:right w:w="0" w:type="dxa"/>
        </w:tblCellMar>
        <w:tblLook w:val="04A0" w:firstRow="1" w:lastRow="0" w:firstColumn="1" w:lastColumn="0" w:noHBand="0" w:noVBand="1"/>
      </w:tblPr>
      <w:tblGrid>
        <w:gridCol w:w="5103"/>
        <w:gridCol w:w="4536"/>
      </w:tblGrid>
      <w:tr w:rsidR="001F6CD4" w:rsidRPr="00AE1241" w14:paraId="39023B05" w14:textId="77777777" w:rsidTr="005A3014">
        <w:tc>
          <w:tcPr>
            <w:tcW w:w="5103" w:type="dxa"/>
            <w:tcBorders>
              <w:bottom w:val="single" w:sz="4" w:space="0" w:color="auto"/>
            </w:tcBorders>
          </w:tcPr>
          <w:p w14:paraId="6BAC551E" w14:textId="2D4CF075" w:rsidR="001F6CD4" w:rsidRPr="00AE1241" w:rsidRDefault="005A3014">
            <w:pPr>
              <w:pStyle w:val="GTNaslovgrafa"/>
            </w:pPr>
            <w:r w:rsidRPr="00AE1241">
              <w:t>Gross domestic product, Q1 2024</w:t>
            </w:r>
          </w:p>
        </w:tc>
        <w:tc>
          <w:tcPr>
            <w:tcW w:w="4536" w:type="dxa"/>
            <w:tcBorders>
              <w:bottom w:val="single" w:sz="4" w:space="0" w:color="auto"/>
            </w:tcBorders>
          </w:tcPr>
          <w:p w14:paraId="4D4A5DED" w14:textId="77777777" w:rsidR="001F6CD4" w:rsidRPr="00AE1241" w:rsidRDefault="001F6CD4">
            <w:pPr>
              <w:pStyle w:val="GTBesedilo"/>
            </w:pPr>
          </w:p>
        </w:tc>
      </w:tr>
      <w:tr w:rsidR="001F6CD4" w:rsidRPr="00AE1241" w14:paraId="6D5774A0" w14:textId="77777777" w:rsidTr="005A3014">
        <w:tc>
          <w:tcPr>
            <w:tcW w:w="5103" w:type="dxa"/>
            <w:tcBorders>
              <w:top w:val="single" w:sz="4" w:space="0" w:color="auto"/>
            </w:tcBorders>
          </w:tcPr>
          <w:p w14:paraId="259EF434" w14:textId="2D2B5BDE" w:rsidR="001F6CD4" w:rsidRPr="00AE1241" w:rsidRDefault="00D868D5">
            <w:pPr>
              <w:pStyle w:val="GTBesedilo"/>
            </w:pPr>
            <w:r>
              <w:rPr>
                <w:noProof/>
              </w:rPr>
              <w:drawing>
                <wp:inline distT="0" distB="0" distL="0" distR="0" wp14:anchorId="3B948BC2" wp14:editId="7370223F">
                  <wp:extent cx="3092400" cy="2530800"/>
                  <wp:effectExtent l="0" t="0" r="0" b="317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2400" cy="2530800"/>
                          </a:xfrm>
                          <a:prstGeom prst="rect">
                            <a:avLst/>
                          </a:prstGeom>
                          <a:noFill/>
                        </pic:spPr>
                      </pic:pic>
                    </a:graphicData>
                  </a:graphic>
                </wp:inline>
              </w:drawing>
            </w:r>
          </w:p>
        </w:tc>
        <w:tc>
          <w:tcPr>
            <w:tcW w:w="4536" w:type="dxa"/>
            <w:tcBorders>
              <w:top w:val="single" w:sz="4" w:space="0" w:color="auto"/>
            </w:tcBorders>
          </w:tcPr>
          <w:p w14:paraId="5E0B2A02" w14:textId="4C26B772" w:rsidR="001F6CD4" w:rsidRPr="00AE1241" w:rsidRDefault="00636BD3" w:rsidP="00A57F4D">
            <w:pPr>
              <w:pStyle w:val="GTBesedilo"/>
              <w:rPr>
                <w:bCs/>
              </w:rPr>
            </w:pPr>
            <w:r w:rsidRPr="00AE1241">
              <w:rPr>
                <w:b/>
                <w:bCs/>
              </w:rPr>
              <w:t>GDP stagnated in the first quarter of this year, while it was 2.1% higher year-on-year (not seasonally adjusted).</w:t>
            </w:r>
            <w:r w:rsidRPr="00AE1241">
              <w:t xml:space="preserve"> Household consumption rose by 0.9% year-on-year, with households spending more on tourist services abroad, cars and food and less on non-food products and overnight stays in Slovenia. The growth in government consumption increased </w:t>
            </w:r>
            <w:r w:rsidR="00DF4372">
              <w:t>further</w:t>
            </w:r>
            <w:r w:rsidRPr="00AE1241">
              <w:t xml:space="preserve"> (by 5.1% year-on-year), mainly in relation to the transformation of supplementary health insurance into a mandatory contribution (now a public source of funding). Investment activity, following a period of high growth in the previous year, has weakened (0.6% year-on-year), along with growth in value added in construction. After a strong negative contribution last year, inventories made a positive contribution (0.1 p.p.) to the growth in gross investment this time. Exports of goods and value added in manufacturing increased for the second consecutive quarter and were also higher year-on-year. Total exports of goods and services fell by 0.6% due to a decline in exports of services and total imports fell by 0.9%, which had a positive impact on GDP growth as the contribution of the foreign trade balance was 0.2 p.p.</w:t>
            </w:r>
          </w:p>
        </w:tc>
      </w:tr>
    </w:tbl>
    <w:p w14:paraId="4B9BE204" w14:textId="77777777" w:rsidR="00773916" w:rsidRPr="00AE1241" w:rsidRDefault="00773916" w:rsidP="001F51CD">
      <w:pPr>
        <w:tabs>
          <w:tab w:val="left" w:pos="580"/>
        </w:tabs>
      </w:pPr>
    </w:p>
    <w:p w14:paraId="21B28DFF" w14:textId="10BECA7E" w:rsidR="008236EB" w:rsidRPr="00AE1241" w:rsidRDefault="008236EB">
      <w:pPr>
        <w:spacing w:after="160" w:line="259" w:lineRule="auto"/>
        <w:jc w:val="left"/>
      </w:pPr>
      <w:r w:rsidRPr="00AE1241">
        <w:br w:type="page"/>
      </w: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57" w:type="dxa"/>
          <w:right w:w="0" w:type="dxa"/>
        </w:tblCellMar>
        <w:tblLook w:val="04A0" w:firstRow="1" w:lastRow="0" w:firstColumn="1" w:lastColumn="0" w:noHBand="0" w:noVBand="1"/>
      </w:tblPr>
      <w:tblGrid>
        <w:gridCol w:w="5100"/>
        <w:gridCol w:w="4539"/>
      </w:tblGrid>
      <w:tr w:rsidR="00710785" w:rsidRPr="00AE1241" w14:paraId="0676410D" w14:textId="77777777">
        <w:tc>
          <w:tcPr>
            <w:tcW w:w="5100" w:type="dxa"/>
            <w:tcBorders>
              <w:bottom w:val="single" w:sz="4" w:space="0" w:color="auto"/>
            </w:tcBorders>
          </w:tcPr>
          <w:p w14:paraId="37B2D897" w14:textId="77777777" w:rsidR="004E1821" w:rsidRPr="00AE1241" w:rsidRDefault="00710785">
            <w:pPr>
              <w:pStyle w:val="Napis"/>
              <w:keepNext/>
            </w:pPr>
            <w:r w:rsidRPr="00AE1241">
              <w:lastRenderedPageBreak/>
              <w:t xml:space="preserve">Value of fiscally verified invoices, in nominal terms, </w:t>
            </w:r>
          </w:p>
          <w:p w14:paraId="150CF57D" w14:textId="484E8FB5" w:rsidR="00710785" w:rsidRPr="00AE1241" w:rsidRDefault="00710785">
            <w:pPr>
              <w:pStyle w:val="Napis"/>
              <w:keepNext/>
            </w:pPr>
            <w:r w:rsidRPr="00AE1241">
              <w:t xml:space="preserve">28 April–11 May 2024 </w:t>
            </w:r>
          </w:p>
        </w:tc>
        <w:tc>
          <w:tcPr>
            <w:tcW w:w="4539" w:type="dxa"/>
            <w:tcBorders>
              <w:bottom w:val="single" w:sz="4" w:space="0" w:color="auto"/>
            </w:tcBorders>
          </w:tcPr>
          <w:p w14:paraId="2D32871D" w14:textId="632BE9DA" w:rsidR="00710785" w:rsidRPr="00AE1241" w:rsidRDefault="00710785">
            <w:pPr>
              <w:pStyle w:val="GTBesedilo"/>
            </w:pPr>
          </w:p>
        </w:tc>
      </w:tr>
      <w:tr w:rsidR="00710785" w:rsidRPr="00AE1241" w14:paraId="0E2AC86A" w14:textId="77777777">
        <w:tc>
          <w:tcPr>
            <w:tcW w:w="5100" w:type="dxa"/>
            <w:tcBorders>
              <w:top w:val="single" w:sz="4" w:space="0" w:color="auto"/>
            </w:tcBorders>
          </w:tcPr>
          <w:p w14:paraId="01AA3737" w14:textId="3995B759" w:rsidR="00710785" w:rsidRPr="00AE1241" w:rsidRDefault="006D581A">
            <w:pPr>
              <w:pStyle w:val="GTBesedilo"/>
            </w:pPr>
            <w:r>
              <w:rPr>
                <w:noProof/>
              </w:rPr>
              <w:drawing>
                <wp:inline distT="0" distB="0" distL="0" distR="0" wp14:anchorId="51544F2B" wp14:editId="3FA7B2DA">
                  <wp:extent cx="3096000" cy="2530800"/>
                  <wp:effectExtent l="0" t="0" r="0" b="317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6000" cy="2530800"/>
                          </a:xfrm>
                          <a:prstGeom prst="rect">
                            <a:avLst/>
                          </a:prstGeom>
                          <a:noFill/>
                        </pic:spPr>
                      </pic:pic>
                    </a:graphicData>
                  </a:graphic>
                </wp:inline>
              </w:drawing>
            </w:r>
          </w:p>
        </w:tc>
        <w:tc>
          <w:tcPr>
            <w:tcW w:w="4539" w:type="dxa"/>
            <w:tcBorders>
              <w:top w:val="single" w:sz="4" w:space="0" w:color="auto"/>
            </w:tcBorders>
          </w:tcPr>
          <w:p w14:paraId="7A14E1E3" w14:textId="0131AB20" w:rsidR="00710785" w:rsidRPr="00AE1241" w:rsidRDefault="002E799E">
            <w:r w:rsidRPr="00AE1241">
              <w:rPr>
                <w:b/>
                <w:color w:val="000000"/>
                <w:shd w:val="clear" w:color="auto" w:fill="FFFFFF"/>
              </w:rPr>
              <w:t>The nominal value of fiscally verified invoices between 28 April and 11 May was 7% higher year-on-year.</w:t>
            </w:r>
            <w:r w:rsidRPr="00AE1241">
              <w:rPr>
                <w:color w:val="000000"/>
                <w:shd w:val="clear" w:color="auto" w:fill="FFFFFF"/>
              </w:rPr>
              <w:t xml:space="preserve"> The different timing of the Easter and Labour Day holidays this year compared to last year has influenced the year-on-year fluctuations in the last few 14-day periods. </w:t>
            </w:r>
            <w:r w:rsidRPr="00AE1241">
              <w:t>The average growth over the last two periods was around 4%, which is in line with the average for all periods so far this year.</w:t>
            </w:r>
            <w:r w:rsidRPr="00AE1241">
              <w:rPr>
                <w:color w:val="000000"/>
                <w:shd w:val="clear" w:color="auto" w:fill="FFFFFF"/>
              </w:rPr>
              <w:t xml:space="preserve"> </w:t>
            </w:r>
            <w:r w:rsidR="00A84438">
              <w:rPr>
                <w:color w:val="000000"/>
                <w:shd w:val="clear" w:color="auto" w:fill="FFFFFF"/>
              </w:rPr>
              <w:t>Over the last two periods, t</w:t>
            </w:r>
            <w:r w:rsidR="00A71D2F">
              <w:rPr>
                <w:color w:val="000000"/>
                <w:shd w:val="clear" w:color="auto" w:fill="FFFFFF"/>
              </w:rPr>
              <w:t>he average y</w:t>
            </w:r>
            <w:r w:rsidRPr="00AE1241">
              <w:rPr>
                <w:color w:val="000000"/>
                <w:shd w:val="clear" w:color="auto" w:fill="FFFFFF"/>
              </w:rPr>
              <w:t xml:space="preserve">ear-on-year growth of turnover in retail trade (4%), which accounts for almost 80% of the total value of fiscally verified invoices, has also remained </w:t>
            </w:r>
            <w:r w:rsidR="002C41BC">
              <w:rPr>
                <w:color w:val="000000"/>
                <w:shd w:val="clear" w:color="auto" w:fill="FFFFFF"/>
              </w:rPr>
              <w:t>similar</w:t>
            </w:r>
            <w:r w:rsidR="00354AD8">
              <w:rPr>
                <w:color w:val="000000"/>
                <w:shd w:val="clear" w:color="auto" w:fill="FFFFFF"/>
              </w:rPr>
              <w:t xml:space="preserve"> to the</w:t>
            </w:r>
            <w:r w:rsidRPr="00AE1241">
              <w:rPr>
                <w:color w:val="000000"/>
                <w:shd w:val="clear" w:color="auto" w:fill="FFFFFF"/>
              </w:rPr>
              <w:t xml:space="preserve"> average </w:t>
            </w:r>
            <w:r w:rsidR="00C20B79">
              <w:rPr>
                <w:color w:val="000000"/>
                <w:shd w:val="clear" w:color="auto" w:fill="FFFFFF"/>
              </w:rPr>
              <w:t>for all</w:t>
            </w:r>
            <w:r w:rsidR="00C55B19">
              <w:rPr>
                <w:color w:val="000000"/>
                <w:shd w:val="clear" w:color="auto" w:fill="FFFFFF"/>
              </w:rPr>
              <w:t xml:space="preserve"> </w:t>
            </w:r>
            <w:r w:rsidR="003E0EF5">
              <w:rPr>
                <w:color w:val="000000"/>
                <w:shd w:val="clear" w:color="auto" w:fill="FFFFFF"/>
              </w:rPr>
              <w:t>previous periods of the year</w:t>
            </w:r>
            <w:r w:rsidRPr="00AE1241">
              <w:rPr>
                <w:color w:val="000000"/>
                <w:shd w:val="clear" w:color="auto" w:fill="FFFFFF"/>
              </w:rPr>
              <w:t xml:space="preserve">. </w:t>
            </w:r>
            <w:r w:rsidRPr="00AE1241">
              <w:t>Turnover growth in retail trade and the sale of motor vehicles was around 5%, while it remained down year-on-year in wholesale trade. Total year-on-year turnover in accommodation and food service activities and in certain creative, arts, entertainment, and sports services and betting and gambling</w:t>
            </w:r>
            <w:r w:rsidRPr="00AE1241">
              <w:rPr>
                <w:color w:val="000000"/>
                <w:shd w:val="clear" w:color="auto" w:fill="FFFFFF"/>
                <w:vertAlign w:val="superscript"/>
              </w:rPr>
              <w:footnoteReference w:id="2"/>
            </w:r>
            <w:r w:rsidRPr="00AE1241">
              <w:t xml:space="preserve"> remained high, averaging 10% in the last two periods.</w:t>
            </w:r>
            <w:r w:rsidRPr="00AE1241">
              <w:rPr>
                <w:color w:val="000000"/>
                <w:shd w:val="clear" w:color="auto" w:fill="FFFFFF"/>
              </w:rPr>
              <w:t xml:space="preserve"> </w:t>
            </w:r>
          </w:p>
        </w:tc>
      </w:tr>
    </w:tbl>
    <w:p w14:paraId="79AD45A3" w14:textId="77777777" w:rsidR="005A3014" w:rsidRPr="00AE1241" w:rsidRDefault="005A3014" w:rsidP="001F51CD">
      <w:pPr>
        <w:tabs>
          <w:tab w:val="left" w:pos="580"/>
        </w:tabs>
      </w:pPr>
    </w:p>
    <w:p w14:paraId="77554FCD" w14:textId="77777777" w:rsidR="005A3014" w:rsidRPr="00AE1241" w:rsidRDefault="005A3014" w:rsidP="001F51CD">
      <w:pPr>
        <w:tabs>
          <w:tab w:val="left" w:pos="580"/>
        </w:tabs>
      </w:pPr>
    </w:p>
    <w:p w14:paraId="567231F5" w14:textId="77777777" w:rsidR="00655699" w:rsidRPr="00AE1241" w:rsidRDefault="00655699" w:rsidP="001F51CD">
      <w:pPr>
        <w:tabs>
          <w:tab w:val="left" w:pos="580"/>
        </w:tabs>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57" w:type="dxa"/>
          <w:right w:w="0" w:type="dxa"/>
        </w:tblCellMar>
        <w:tblLook w:val="04A0" w:firstRow="1" w:lastRow="0" w:firstColumn="1" w:lastColumn="0" w:noHBand="0" w:noVBand="1"/>
      </w:tblPr>
      <w:tblGrid>
        <w:gridCol w:w="5100"/>
        <w:gridCol w:w="4539"/>
      </w:tblGrid>
      <w:tr w:rsidR="002C0637" w:rsidRPr="00AE1241" w14:paraId="1CF6B220" w14:textId="77777777">
        <w:tc>
          <w:tcPr>
            <w:tcW w:w="5100" w:type="dxa"/>
            <w:tcBorders>
              <w:bottom w:val="single" w:sz="4" w:space="0" w:color="auto"/>
            </w:tcBorders>
          </w:tcPr>
          <w:p w14:paraId="20509043" w14:textId="253F5944" w:rsidR="002C0637" w:rsidRPr="00AE1241" w:rsidRDefault="002C0637" w:rsidP="00851EE6">
            <w:pPr>
              <w:pStyle w:val="Napis"/>
              <w:keepNext/>
              <w:jc w:val="left"/>
            </w:pPr>
            <w:r w:rsidRPr="00AE1241">
              <w:t xml:space="preserve">Electricity consumption by consumption group, </w:t>
            </w:r>
            <w:r w:rsidR="00851EE6">
              <w:br/>
            </w:r>
            <w:r w:rsidRPr="00AE1241">
              <w:t xml:space="preserve">April 2024 </w:t>
            </w:r>
          </w:p>
        </w:tc>
        <w:tc>
          <w:tcPr>
            <w:tcW w:w="4539" w:type="dxa"/>
            <w:tcBorders>
              <w:bottom w:val="single" w:sz="4" w:space="0" w:color="auto"/>
            </w:tcBorders>
          </w:tcPr>
          <w:p w14:paraId="4DBB13E2" w14:textId="77777777" w:rsidR="002C0637" w:rsidRPr="00AE1241" w:rsidRDefault="002C0637">
            <w:pPr>
              <w:pStyle w:val="GTBesedilo"/>
            </w:pPr>
          </w:p>
        </w:tc>
      </w:tr>
      <w:tr w:rsidR="002C0637" w:rsidRPr="00AE1241" w14:paraId="0F1666EB" w14:textId="77777777">
        <w:tc>
          <w:tcPr>
            <w:tcW w:w="5100" w:type="dxa"/>
            <w:tcBorders>
              <w:top w:val="single" w:sz="4" w:space="0" w:color="auto"/>
            </w:tcBorders>
          </w:tcPr>
          <w:p w14:paraId="3F1C341E" w14:textId="610EAEB4" w:rsidR="002C0637" w:rsidRPr="00AE1241" w:rsidRDefault="00BD29AC">
            <w:pPr>
              <w:pStyle w:val="GTBesedilo"/>
            </w:pPr>
            <w:r>
              <w:rPr>
                <w:noProof/>
              </w:rPr>
              <w:drawing>
                <wp:inline distT="0" distB="0" distL="0" distR="0" wp14:anchorId="0313194B" wp14:editId="0B5110CD">
                  <wp:extent cx="3092400" cy="2530800"/>
                  <wp:effectExtent l="0" t="0" r="0" b="317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2400" cy="2530800"/>
                          </a:xfrm>
                          <a:prstGeom prst="rect">
                            <a:avLst/>
                          </a:prstGeom>
                          <a:noFill/>
                        </pic:spPr>
                      </pic:pic>
                    </a:graphicData>
                  </a:graphic>
                </wp:inline>
              </w:drawing>
            </w:r>
          </w:p>
        </w:tc>
        <w:tc>
          <w:tcPr>
            <w:tcW w:w="4539" w:type="dxa"/>
            <w:tcBorders>
              <w:top w:val="single" w:sz="4" w:space="0" w:color="auto"/>
            </w:tcBorders>
          </w:tcPr>
          <w:p w14:paraId="0FCF362A" w14:textId="32855AC0" w:rsidR="004330C7" w:rsidRPr="00AE1241" w:rsidRDefault="004330C7" w:rsidP="004330C7">
            <w:pPr>
              <w:rPr>
                <w:rFonts w:eastAsia="Myriad Pro" w:cs="Myriad Pro"/>
                <w:b/>
                <w:bCs/>
              </w:rPr>
            </w:pPr>
            <w:bookmarkStart w:id="1" w:name="_Hlk158961328"/>
            <w:r w:rsidRPr="00AE1241">
              <w:rPr>
                <w:b/>
              </w:rPr>
              <w:t>In April, the year-on-year decline of electricity consumption in the distribution network was slightly lower partly due to more working days.</w:t>
            </w:r>
            <w:r w:rsidRPr="00AE1241">
              <w:t xml:space="preserve"> With three more working days this April, industrial consumption was 2.3% higher year-on-year, while small business consumption was slightly lower (by 0.9%). Household electricity consumption in April was 6.9% lower year-on-year, partly attributable to frequent power outages due to maintenance works and snowfall.</w:t>
            </w:r>
          </w:p>
          <w:p w14:paraId="5C047FAF" w14:textId="2B2D9C3A" w:rsidR="00D400F2" w:rsidRPr="00AE1241" w:rsidRDefault="00D400F2" w:rsidP="00D400F2">
            <w:pPr>
              <w:rPr>
                <w:rFonts w:eastAsia="Myriad Pro" w:cs="Myriad Pro"/>
                <w:b/>
                <w:bCs/>
                <w:color w:val="DBDBDB" w:themeColor="background2"/>
              </w:rPr>
            </w:pPr>
          </w:p>
          <w:bookmarkEnd w:id="1"/>
          <w:p w14:paraId="2C1DD238" w14:textId="546A0502" w:rsidR="002C0637" w:rsidRPr="00AE1241" w:rsidRDefault="002C0637" w:rsidP="00D774F8"/>
        </w:tc>
      </w:tr>
    </w:tbl>
    <w:p w14:paraId="16D46FF1" w14:textId="77777777" w:rsidR="005A3014" w:rsidRPr="00AE1241" w:rsidRDefault="005A3014" w:rsidP="001F51CD">
      <w:pPr>
        <w:tabs>
          <w:tab w:val="left" w:pos="580"/>
        </w:tabs>
      </w:pPr>
    </w:p>
    <w:p w14:paraId="6F4800B3" w14:textId="77777777" w:rsidR="005A3014" w:rsidRPr="00AE1241" w:rsidRDefault="005A3014" w:rsidP="001F51CD">
      <w:pPr>
        <w:tabs>
          <w:tab w:val="left" w:pos="580"/>
        </w:tabs>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57" w:type="dxa"/>
          <w:right w:w="0" w:type="dxa"/>
        </w:tblCellMar>
        <w:tblLook w:val="04A0" w:firstRow="1" w:lastRow="0" w:firstColumn="1" w:lastColumn="0" w:noHBand="0" w:noVBand="1"/>
      </w:tblPr>
      <w:tblGrid>
        <w:gridCol w:w="5100"/>
        <w:gridCol w:w="4539"/>
      </w:tblGrid>
      <w:tr w:rsidR="005A3014" w:rsidRPr="00AE1241" w14:paraId="4D4B1BEC" w14:textId="77777777">
        <w:tc>
          <w:tcPr>
            <w:tcW w:w="5100" w:type="dxa"/>
            <w:tcBorders>
              <w:bottom w:val="single" w:sz="4" w:space="0" w:color="auto"/>
            </w:tcBorders>
          </w:tcPr>
          <w:p w14:paraId="4983F5B3" w14:textId="28C88E93" w:rsidR="005A3014" w:rsidRPr="00AE1241" w:rsidRDefault="002C0637">
            <w:pPr>
              <w:pStyle w:val="Napis"/>
              <w:keepNext/>
            </w:pPr>
            <w:bookmarkStart w:id="2" w:name="_Hlk166584414"/>
            <w:r w:rsidRPr="00AE1241">
              <w:lastRenderedPageBreak/>
              <w:t xml:space="preserve">Activity in construction, March 2024 </w:t>
            </w:r>
          </w:p>
        </w:tc>
        <w:tc>
          <w:tcPr>
            <w:tcW w:w="4539" w:type="dxa"/>
            <w:tcBorders>
              <w:bottom w:val="single" w:sz="4" w:space="0" w:color="auto"/>
            </w:tcBorders>
          </w:tcPr>
          <w:p w14:paraId="6675B91B" w14:textId="77777777" w:rsidR="005A3014" w:rsidRPr="00AE1241" w:rsidRDefault="005A3014">
            <w:pPr>
              <w:pStyle w:val="GTBesedilo"/>
            </w:pPr>
          </w:p>
        </w:tc>
      </w:tr>
      <w:tr w:rsidR="005A3014" w:rsidRPr="00AE1241" w14:paraId="1ACC2792" w14:textId="77777777">
        <w:tc>
          <w:tcPr>
            <w:tcW w:w="5100" w:type="dxa"/>
            <w:tcBorders>
              <w:top w:val="single" w:sz="4" w:space="0" w:color="auto"/>
            </w:tcBorders>
          </w:tcPr>
          <w:p w14:paraId="557B01C7" w14:textId="451F4F96" w:rsidR="005A3014" w:rsidRPr="00AE1241" w:rsidRDefault="002C547A">
            <w:pPr>
              <w:pStyle w:val="GTBesedilo"/>
            </w:pPr>
            <w:r>
              <w:rPr>
                <w:noProof/>
              </w:rPr>
              <w:drawing>
                <wp:inline distT="0" distB="0" distL="0" distR="0" wp14:anchorId="33F2DD9D" wp14:editId="5D3D0382">
                  <wp:extent cx="3092400" cy="2530800"/>
                  <wp:effectExtent l="0" t="0" r="0" b="317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2400" cy="2530800"/>
                          </a:xfrm>
                          <a:prstGeom prst="rect">
                            <a:avLst/>
                          </a:prstGeom>
                          <a:noFill/>
                        </pic:spPr>
                      </pic:pic>
                    </a:graphicData>
                  </a:graphic>
                </wp:inline>
              </w:drawing>
            </w:r>
          </w:p>
        </w:tc>
        <w:tc>
          <w:tcPr>
            <w:tcW w:w="4539" w:type="dxa"/>
            <w:tcBorders>
              <w:top w:val="single" w:sz="4" w:space="0" w:color="auto"/>
            </w:tcBorders>
          </w:tcPr>
          <w:p w14:paraId="6ECEC46E" w14:textId="4BFA8FE5" w:rsidR="00D60282" w:rsidRPr="00AE1241" w:rsidRDefault="5A3FDD3F">
            <w:pPr>
              <w:rPr>
                <w:rFonts w:eastAsia="Myriad Pro" w:cs="Myriad Pro"/>
                <w:szCs w:val="20"/>
              </w:rPr>
            </w:pPr>
            <w:r w:rsidRPr="00AE1241">
              <w:rPr>
                <w:b/>
              </w:rPr>
              <w:t xml:space="preserve">According to data on the value of construction work put in place, construction activity fell in March and was also down year-on-year. </w:t>
            </w:r>
            <w:r w:rsidRPr="00AE1241">
              <w:t xml:space="preserve">After high growth at the beginning of last year, activity declined gradually amid monthly fluctuations. In the first quarter, it was 3% lower than in the first quarter of last year. The sharpest decline in activity was recorded in building construction (7%). </w:t>
            </w:r>
          </w:p>
          <w:p w14:paraId="7C59C449" w14:textId="666F3375" w:rsidR="005A3014" w:rsidRPr="00AE1241" w:rsidRDefault="5A3FDD3F" w:rsidP="00732B0B">
            <w:pPr>
              <w:rPr>
                <w:rFonts w:eastAsia="Myriad Pro" w:cs="Myriad Pro"/>
              </w:rPr>
            </w:pPr>
            <w:r w:rsidRPr="00AE1241">
              <w:t xml:space="preserve">Some other data, however, point to growth in construction activity. According to VAT data, the activity of construction companies in the first quarter was 8% higher than the same period last year. When compared to the data on the value of construction put in place, this represents a notable difference of 11 p.p. in the growth of this activity. </w:t>
            </w:r>
          </w:p>
        </w:tc>
      </w:tr>
      <w:bookmarkEnd w:id="2"/>
    </w:tbl>
    <w:p w14:paraId="698F8E5E" w14:textId="77777777" w:rsidR="005A3014" w:rsidRPr="00AE1241" w:rsidRDefault="005A3014" w:rsidP="001F51CD">
      <w:pPr>
        <w:tabs>
          <w:tab w:val="left" w:pos="580"/>
        </w:tabs>
      </w:pPr>
    </w:p>
    <w:p w14:paraId="46D6407B" w14:textId="77777777" w:rsidR="005A3014" w:rsidRPr="00AE1241" w:rsidRDefault="005A3014" w:rsidP="001F51CD">
      <w:pPr>
        <w:tabs>
          <w:tab w:val="left" w:pos="580"/>
        </w:tabs>
      </w:pPr>
    </w:p>
    <w:p w14:paraId="27B456B0" w14:textId="77777777" w:rsidR="005A3014" w:rsidRPr="00AE1241" w:rsidRDefault="005A3014" w:rsidP="001F51CD">
      <w:pPr>
        <w:tabs>
          <w:tab w:val="left" w:pos="580"/>
        </w:tabs>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57" w:type="dxa"/>
          <w:right w:w="0" w:type="dxa"/>
        </w:tblCellMar>
        <w:tblLook w:val="04A0" w:firstRow="1" w:lastRow="0" w:firstColumn="1" w:lastColumn="0" w:noHBand="0" w:noVBand="1"/>
      </w:tblPr>
      <w:tblGrid>
        <w:gridCol w:w="5100"/>
        <w:gridCol w:w="4539"/>
      </w:tblGrid>
      <w:tr w:rsidR="0040630F" w:rsidRPr="00AE1241" w14:paraId="4B052BD1" w14:textId="77777777" w:rsidTr="6F36E5AF">
        <w:tc>
          <w:tcPr>
            <w:tcW w:w="5100" w:type="dxa"/>
            <w:tcBorders>
              <w:bottom w:val="single" w:sz="4" w:space="0" w:color="auto"/>
            </w:tcBorders>
          </w:tcPr>
          <w:p w14:paraId="035E0C14" w14:textId="1954F1CE" w:rsidR="0040630F" w:rsidRPr="00AE1241" w:rsidRDefault="005A3014" w:rsidP="007B7A48">
            <w:pPr>
              <w:pStyle w:val="Napis"/>
              <w:keepNext/>
            </w:pPr>
            <w:r w:rsidRPr="00AE1241">
              <w:t xml:space="preserve">Current account of the balance of payments, March 2024 </w:t>
            </w:r>
            <w:r w:rsidRPr="00AE1241">
              <w:tab/>
            </w:r>
          </w:p>
        </w:tc>
        <w:tc>
          <w:tcPr>
            <w:tcW w:w="4539" w:type="dxa"/>
            <w:tcBorders>
              <w:bottom w:val="single" w:sz="4" w:space="0" w:color="auto"/>
            </w:tcBorders>
          </w:tcPr>
          <w:p w14:paraId="4A02084C" w14:textId="77777777" w:rsidR="0040630F" w:rsidRPr="00AE1241" w:rsidRDefault="0040630F" w:rsidP="0040630F">
            <w:pPr>
              <w:pStyle w:val="GTBesedilo"/>
            </w:pPr>
          </w:p>
        </w:tc>
      </w:tr>
      <w:tr w:rsidR="0040630F" w:rsidRPr="00AE1241" w14:paraId="2CA87015" w14:textId="77777777" w:rsidTr="6F36E5AF">
        <w:tc>
          <w:tcPr>
            <w:tcW w:w="5100" w:type="dxa"/>
            <w:tcBorders>
              <w:top w:val="single" w:sz="4" w:space="0" w:color="auto"/>
            </w:tcBorders>
          </w:tcPr>
          <w:p w14:paraId="206ED375" w14:textId="36A7A81E" w:rsidR="0040630F" w:rsidRPr="00AE1241" w:rsidRDefault="00851EE6" w:rsidP="0040630F">
            <w:pPr>
              <w:pStyle w:val="GTBesedilo"/>
            </w:pPr>
            <w:r>
              <w:rPr>
                <w:noProof/>
              </w:rPr>
              <w:drawing>
                <wp:inline distT="0" distB="0" distL="0" distR="0" wp14:anchorId="026D6638" wp14:editId="64CA9443">
                  <wp:extent cx="3048000" cy="2471197"/>
                  <wp:effectExtent l="0" t="0" r="0" b="571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59413" cy="2480451"/>
                          </a:xfrm>
                          <a:prstGeom prst="rect">
                            <a:avLst/>
                          </a:prstGeom>
                          <a:noFill/>
                        </pic:spPr>
                      </pic:pic>
                    </a:graphicData>
                  </a:graphic>
                </wp:inline>
              </w:drawing>
            </w:r>
          </w:p>
        </w:tc>
        <w:tc>
          <w:tcPr>
            <w:tcW w:w="4539" w:type="dxa"/>
            <w:tcBorders>
              <w:top w:val="single" w:sz="4" w:space="0" w:color="auto"/>
            </w:tcBorders>
          </w:tcPr>
          <w:p w14:paraId="56B303DF" w14:textId="33674E3E" w:rsidR="0040630F" w:rsidRPr="00AE1241" w:rsidRDefault="003F75E3" w:rsidP="005D70F5">
            <w:r w:rsidRPr="00AE1241">
              <w:rPr>
                <w:rStyle w:val="Krepko"/>
              </w:rPr>
              <w:t>In the first quarter of this year, the current account surplus widened year-on-year.</w:t>
            </w:r>
            <w:r w:rsidRPr="00AE1241">
              <w:rPr>
                <w:rStyle w:val="Krepko"/>
                <w:b w:val="0"/>
              </w:rPr>
              <w:t xml:space="preserve"> This was mainly due to the goods trade balance. </w:t>
            </w:r>
            <w:r w:rsidRPr="00AE1241">
              <w:rPr>
                <w:rStyle w:val="Krepko"/>
                <w:b w:val="0"/>
                <w:bCs w:val="0"/>
              </w:rPr>
              <w:t>Real exports of goods increased year-on-year, while imports fell, and the terms of trade improved due to a further decline in energy and industrial producer prices.</w:t>
            </w:r>
            <w:r w:rsidRPr="00AE1241">
              <w:rPr>
                <w:rStyle w:val="Krepko"/>
                <w:b w:val="0"/>
              </w:rPr>
              <w:t xml:space="preserve"> </w:t>
            </w:r>
            <w:r w:rsidRPr="00AE1241">
              <w:rPr>
                <w:rStyle w:val="Krepko"/>
                <w:b w:val="0"/>
                <w:bCs w:val="0"/>
              </w:rPr>
              <w:t>We estimate that volume and price movements contributed similarly to the year-on-year change in the nominal goods trade balance (EUR 261 million) in the first quarter.</w:t>
            </w:r>
            <w:r w:rsidRPr="00AE1241">
              <w:rPr>
                <w:rStyle w:val="Krepko"/>
                <w:b w:val="0"/>
              </w:rPr>
              <w:t xml:space="preserve"> The surplus in trade in services was lower year-on-year mainly due to a lower surplus in trade in transport services. The primary income deficit was similar to that in the same period last year. The lower secondary income deficit resulted mainly from lower net outflows of general government transfers to the rest of the world. The 12-month balance of the current account of the balance of payments showed a surplus of EUR 3.1 billion in March (4.6% of estimated GDP).</w:t>
            </w:r>
          </w:p>
        </w:tc>
      </w:tr>
    </w:tbl>
    <w:p w14:paraId="54E0A8F3" w14:textId="77777777" w:rsidR="00363E63" w:rsidRPr="00AE1241" w:rsidRDefault="00363E63" w:rsidP="00363E63">
      <w:pPr>
        <w:tabs>
          <w:tab w:val="left" w:pos="580"/>
        </w:tabs>
      </w:pPr>
    </w:p>
    <w:p w14:paraId="76BAD7BF" w14:textId="77777777" w:rsidR="005A3014" w:rsidRPr="00AE1241" w:rsidRDefault="005A3014" w:rsidP="00363E63">
      <w:pPr>
        <w:tabs>
          <w:tab w:val="left" w:pos="580"/>
        </w:tabs>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57" w:type="dxa"/>
          <w:right w:w="0" w:type="dxa"/>
        </w:tblCellMar>
        <w:tblLook w:val="04A0" w:firstRow="1" w:lastRow="0" w:firstColumn="1" w:lastColumn="0" w:noHBand="0" w:noVBand="1"/>
      </w:tblPr>
      <w:tblGrid>
        <w:gridCol w:w="5103"/>
        <w:gridCol w:w="4536"/>
      </w:tblGrid>
      <w:tr w:rsidR="0040630F" w:rsidRPr="00AE1241" w14:paraId="7B5496AB" w14:textId="77777777" w:rsidTr="0A8613B5">
        <w:tc>
          <w:tcPr>
            <w:tcW w:w="5103" w:type="dxa"/>
            <w:tcBorders>
              <w:bottom w:val="single" w:sz="4" w:space="0" w:color="auto"/>
            </w:tcBorders>
          </w:tcPr>
          <w:p w14:paraId="12D2B087" w14:textId="494C8DBA" w:rsidR="0040630F" w:rsidRPr="00AE1241" w:rsidRDefault="002C0637" w:rsidP="00BB1D92">
            <w:pPr>
              <w:pStyle w:val="GTNaslovgrafa"/>
            </w:pPr>
            <w:r w:rsidRPr="00AE1241">
              <w:lastRenderedPageBreak/>
              <w:t>Number of persons in employment, March 2024</w:t>
            </w:r>
          </w:p>
        </w:tc>
        <w:tc>
          <w:tcPr>
            <w:tcW w:w="4536" w:type="dxa"/>
            <w:tcBorders>
              <w:bottom w:val="single" w:sz="4" w:space="0" w:color="auto"/>
            </w:tcBorders>
          </w:tcPr>
          <w:p w14:paraId="37CAD4DB" w14:textId="77777777" w:rsidR="0040630F" w:rsidRPr="00AE1241" w:rsidRDefault="0040630F" w:rsidP="00BB1D92">
            <w:pPr>
              <w:pStyle w:val="GTBesedilo"/>
            </w:pPr>
          </w:p>
        </w:tc>
      </w:tr>
      <w:tr w:rsidR="0040630F" w:rsidRPr="00AE1241" w14:paraId="008EF5C2" w14:textId="77777777" w:rsidTr="0A8613B5">
        <w:tc>
          <w:tcPr>
            <w:tcW w:w="5103" w:type="dxa"/>
            <w:tcBorders>
              <w:top w:val="single" w:sz="4" w:space="0" w:color="auto"/>
            </w:tcBorders>
          </w:tcPr>
          <w:p w14:paraId="77251867" w14:textId="2B108347" w:rsidR="0040630F" w:rsidRPr="00AE1241" w:rsidRDefault="00612BED" w:rsidP="00BB1D92">
            <w:pPr>
              <w:pStyle w:val="GTBesedilo"/>
            </w:pPr>
            <w:r>
              <w:rPr>
                <w:noProof/>
              </w:rPr>
              <w:drawing>
                <wp:inline distT="0" distB="0" distL="0" distR="0" wp14:anchorId="502EF460" wp14:editId="33891143">
                  <wp:extent cx="3092400" cy="2530800"/>
                  <wp:effectExtent l="0" t="0" r="0" b="317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2400" cy="2530800"/>
                          </a:xfrm>
                          <a:prstGeom prst="rect">
                            <a:avLst/>
                          </a:prstGeom>
                          <a:noFill/>
                        </pic:spPr>
                      </pic:pic>
                    </a:graphicData>
                  </a:graphic>
                </wp:inline>
              </w:drawing>
            </w:r>
          </w:p>
        </w:tc>
        <w:tc>
          <w:tcPr>
            <w:tcW w:w="4536" w:type="dxa"/>
            <w:tcBorders>
              <w:top w:val="single" w:sz="4" w:space="0" w:color="auto"/>
            </w:tcBorders>
          </w:tcPr>
          <w:p w14:paraId="59DC6EE0" w14:textId="60065118" w:rsidR="00F33895" w:rsidRPr="00AE1241" w:rsidRDefault="00F33895" w:rsidP="00F33895">
            <w:pPr>
              <w:pStyle w:val="GTBesedilo"/>
              <w:rPr>
                <w:color w:val="000000" w:themeColor="text1"/>
              </w:rPr>
            </w:pPr>
            <w:r w:rsidRPr="00AE1241">
              <w:rPr>
                <w:b/>
                <w:color w:val="000000" w:themeColor="text1"/>
              </w:rPr>
              <w:t>The number of persons in employment continued to rise year-on-year in March.</w:t>
            </w:r>
            <w:r w:rsidRPr="00AE1241">
              <w:rPr>
                <w:color w:val="000000" w:themeColor="text1"/>
              </w:rPr>
              <w:t xml:space="preserve"> Growth was similar (1.4%) to the first two months of this year and higher than in the final months of 2023. The acceleration was mainly due to a change in the definition of persons in employment, which now includes also workers posted abroad.</w:t>
            </w:r>
            <w:r w:rsidRPr="00AE1241">
              <w:rPr>
                <w:color w:val="000000" w:themeColor="text1"/>
                <w:vertAlign w:val="superscript"/>
              </w:rPr>
              <w:footnoteReference w:id="3"/>
            </w:r>
            <w:r w:rsidRPr="00AE1241">
              <w:rPr>
                <w:color w:val="000000" w:themeColor="text1"/>
              </w:rPr>
              <w:t xml:space="preserve"> Growth was the highest in construction, which faces great labour shortages, and the increase was further boosted by the aforementioned change in the definition of the labour force. The year-on-year increase in the total number of persons in employment was due to a higher number of employed foreign nationals, while the number of employed Slovenian citizens fell. The share of foreign citizens among all persons in employment was 15.6% in March, 1.4 p.p. higher than a year earlier. Notably, the activities with the largest shares of foreign workers were construction (50%), transportation and storage (33%) and administrative and support service activities (29%).</w:t>
            </w:r>
          </w:p>
          <w:p w14:paraId="6526120A" w14:textId="18E26FD5" w:rsidR="0040630F" w:rsidRPr="00AE1241" w:rsidRDefault="0040630F" w:rsidP="00BB1D92">
            <w:pPr>
              <w:pStyle w:val="GTBesedilo"/>
            </w:pPr>
          </w:p>
        </w:tc>
      </w:tr>
    </w:tbl>
    <w:p w14:paraId="3B897BEC" w14:textId="77777777" w:rsidR="00363E63" w:rsidRPr="00AE1241" w:rsidRDefault="00363E63" w:rsidP="001F51CD">
      <w:pPr>
        <w:tabs>
          <w:tab w:val="left" w:pos="580"/>
        </w:tabs>
      </w:pPr>
    </w:p>
    <w:p w14:paraId="2463D7BD" w14:textId="77777777" w:rsidR="00363E63" w:rsidRPr="00AE1241" w:rsidRDefault="00363E63" w:rsidP="001F51CD">
      <w:pPr>
        <w:tabs>
          <w:tab w:val="left" w:pos="580"/>
        </w:tabs>
      </w:pPr>
    </w:p>
    <w:p w14:paraId="255840AF" w14:textId="77777777" w:rsidR="00FE7254" w:rsidRPr="00AE1241" w:rsidRDefault="00FE7254" w:rsidP="00FE7254">
      <w:pPr>
        <w:sectPr w:rsidR="00FE7254" w:rsidRPr="00AE1241" w:rsidSect="0051021F">
          <w:footerReference w:type="default" r:id="rId14"/>
          <w:headerReference w:type="first" r:id="rId15"/>
          <w:footerReference w:type="first" r:id="rId16"/>
          <w:type w:val="continuous"/>
          <w:pgSz w:w="11906" w:h="16838"/>
          <w:pgMar w:top="1134" w:right="1134" w:bottom="1021" w:left="1134" w:header="709" w:footer="397" w:gutter="0"/>
          <w:cols w:space="708"/>
          <w:titlePg/>
          <w:docGrid w:linePitch="360"/>
        </w:sectPr>
      </w:pPr>
    </w:p>
    <w:p w14:paraId="45B636F1" w14:textId="77985B70" w:rsidR="002E69B6" w:rsidRPr="00AE1241" w:rsidRDefault="00DD7935" w:rsidP="00892A1A">
      <w:pPr>
        <w:tabs>
          <w:tab w:val="left" w:pos="580"/>
        </w:tabs>
        <w:ind w:left="-142"/>
      </w:pPr>
      <w:r w:rsidRPr="00DD7935">
        <w:rPr>
          <w:noProof/>
        </w:rPr>
        <w:lastRenderedPageBreak/>
        <w:drawing>
          <wp:inline distT="0" distB="0" distL="0" distR="0" wp14:anchorId="44069E1E" wp14:editId="03365A12">
            <wp:extent cx="6120130" cy="7905115"/>
            <wp:effectExtent l="0" t="0" r="0" b="635"/>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7905115"/>
                    </a:xfrm>
                    <a:prstGeom prst="rect">
                      <a:avLst/>
                    </a:prstGeom>
                    <a:noFill/>
                    <a:ln>
                      <a:noFill/>
                    </a:ln>
                  </pic:spPr>
                </pic:pic>
              </a:graphicData>
            </a:graphic>
          </wp:inline>
        </w:drawing>
      </w:r>
    </w:p>
    <w:sectPr w:rsidR="002E69B6" w:rsidRPr="00AE1241" w:rsidSect="00363E63">
      <w:headerReference w:type="default" r:id="rId18"/>
      <w:footerReference w:type="default" r:id="rId19"/>
      <w:pgSz w:w="11906" w:h="16838"/>
      <w:pgMar w:top="1134" w:right="1134" w:bottom="1021"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CD81A" w14:textId="77777777" w:rsidR="002A1EF1" w:rsidRDefault="002A1EF1" w:rsidP="0063497B">
      <w:pPr>
        <w:spacing w:line="240" w:lineRule="auto"/>
      </w:pPr>
      <w:r>
        <w:separator/>
      </w:r>
    </w:p>
  </w:endnote>
  <w:endnote w:type="continuationSeparator" w:id="0">
    <w:p w14:paraId="44032D19" w14:textId="77777777" w:rsidR="002A1EF1" w:rsidRDefault="002A1EF1" w:rsidP="0063497B">
      <w:pPr>
        <w:spacing w:line="240" w:lineRule="auto"/>
      </w:pPr>
      <w:r>
        <w:continuationSeparator/>
      </w:r>
    </w:p>
  </w:endnote>
  <w:endnote w:type="continuationNotice" w:id="1">
    <w:p w14:paraId="39A6CF16" w14:textId="77777777" w:rsidR="002A1EF1" w:rsidRDefault="002A1EF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6535D" w14:textId="77777777" w:rsidR="0029405F" w:rsidRPr="00892A1A" w:rsidRDefault="00892A1A" w:rsidP="00363E63">
    <w:pPr>
      <w:pStyle w:val="GTNaslovgrafa"/>
      <w:tabs>
        <w:tab w:val="right" w:pos="9638"/>
      </w:tabs>
      <w:jc w:val="left"/>
      <w:rPr>
        <w:b w:val="0"/>
        <w:sz w:val="18"/>
        <w:szCs w:val="18"/>
      </w:rPr>
    </w:pPr>
    <w:bookmarkStart w:id="3" w:name="_Hlk159234341"/>
    <w:bookmarkStart w:id="4" w:name="_Hlk159234342"/>
    <w:bookmarkStart w:id="5" w:name="_Hlk165895796"/>
    <w:bookmarkStart w:id="6" w:name="_Hlk165895797"/>
    <w:bookmarkStart w:id="7" w:name="_Hlk165895831"/>
    <w:bookmarkStart w:id="8" w:name="_Hlk165895832"/>
    <w:r>
      <w:rPr>
        <w:sz w:val="18"/>
      </w:rPr>
      <w:t>More information:</w:t>
    </w:r>
    <w:r>
      <w:rPr>
        <w:b w:val="0"/>
        <w:sz w:val="18"/>
      </w:rPr>
      <w:t xml:space="preserve"> + 386 1 478 10 04, polona.osrajnik@gov.si</w:t>
    </w:r>
    <w:bookmarkEnd w:id="3"/>
    <w:bookmarkEnd w:id="4"/>
    <w:bookmarkEnd w:id="5"/>
    <w:bookmarkEnd w:id="6"/>
    <w:bookmarkEnd w:id="7"/>
    <w:bookmarkEnd w:id="8"/>
    <w:r>
      <w:rPr>
        <w:b w:val="0"/>
        <w:sz w:val="18"/>
      </w:rPr>
      <w:tab/>
      <w:t xml:space="preserve"> </w:t>
    </w:r>
    <w:sdt>
      <w:sdtPr>
        <w:rPr>
          <w:b w:val="0"/>
          <w:bCs/>
          <w:sz w:val="18"/>
          <w:szCs w:val="18"/>
        </w:rPr>
        <w:id w:val="-652685202"/>
        <w:docPartObj>
          <w:docPartGallery w:val="Page Numbers (Bottom of Page)"/>
          <w:docPartUnique/>
        </w:docPartObj>
      </w:sdtPr>
      <w:sdtEndPr/>
      <w:sdtContent>
        <w:r w:rsidR="00363E63" w:rsidRPr="000A5EE8">
          <w:rPr>
            <w:b w:val="0"/>
            <w:sz w:val="18"/>
          </w:rPr>
          <w:fldChar w:fldCharType="begin"/>
        </w:r>
        <w:r w:rsidR="00363E63" w:rsidRPr="000A5EE8">
          <w:rPr>
            <w:b w:val="0"/>
            <w:sz w:val="18"/>
          </w:rPr>
          <w:instrText>PAGE   \* MERGEFORMAT</w:instrText>
        </w:r>
        <w:r w:rsidR="00363E63" w:rsidRPr="000A5EE8">
          <w:rPr>
            <w:b w:val="0"/>
            <w:sz w:val="18"/>
          </w:rPr>
          <w:fldChar w:fldCharType="separate"/>
        </w:r>
        <w:r w:rsidR="00363E63" w:rsidRPr="000A5EE8">
          <w:rPr>
            <w:b w:val="0"/>
            <w:sz w:val="18"/>
          </w:rPr>
          <w:t>1</w:t>
        </w:r>
        <w:r w:rsidR="00363E63" w:rsidRPr="000A5EE8">
          <w:rPr>
            <w:b w:val="0"/>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D32C7" w14:textId="77777777" w:rsidR="0029405F" w:rsidRPr="00363E63" w:rsidRDefault="000A5EE8" w:rsidP="000A5EE8">
    <w:pPr>
      <w:pStyle w:val="GTNaslovgrafa"/>
      <w:tabs>
        <w:tab w:val="right" w:pos="9638"/>
      </w:tabs>
      <w:jc w:val="left"/>
      <w:rPr>
        <w:b w:val="0"/>
        <w:sz w:val="18"/>
        <w:szCs w:val="18"/>
      </w:rPr>
    </w:pPr>
    <w:r>
      <w:rPr>
        <w:sz w:val="18"/>
      </w:rPr>
      <w:t>More information:</w:t>
    </w:r>
    <w:r>
      <w:rPr>
        <w:b w:val="0"/>
        <w:sz w:val="18"/>
      </w:rPr>
      <w:t xml:space="preserve"> + 386 1 478 10 04, polona.osrajnik@gov.si</w:t>
    </w:r>
    <w:r>
      <w:rPr>
        <w:b w:val="0"/>
        <w:sz w:val="18"/>
      </w:rPr>
      <w:tab/>
      <w:t xml:space="preserve"> </w:t>
    </w:r>
    <w:sdt>
      <w:sdtPr>
        <w:rPr>
          <w:b w:val="0"/>
          <w:bCs/>
          <w:sz w:val="18"/>
          <w:szCs w:val="18"/>
        </w:rPr>
        <w:id w:val="-89402759"/>
        <w:docPartObj>
          <w:docPartGallery w:val="Page Numbers (Bottom of Page)"/>
          <w:docPartUnique/>
        </w:docPartObj>
      </w:sdtPr>
      <w:sdtEndPr/>
      <w:sdtContent>
        <w:r w:rsidR="00363E63" w:rsidRPr="000A5EE8">
          <w:rPr>
            <w:b w:val="0"/>
            <w:sz w:val="18"/>
          </w:rPr>
          <w:fldChar w:fldCharType="begin"/>
        </w:r>
        <w:r w:rsidR="00363E63" w:rsidRPr="000A5EE8">
          <w:rPr>
            <w:b w:val="0"/>
            <w:sz w:val="18"/>
          </w:rPr>
          <w:instrText>PAGE   \* MERGEFORMAT</w:instrText>
        </w:r>
        <w:r w:rsidR="00363E63" w:rsidRPr="000A5EE8">
          <w:rPr>
            <w:b w:val="0"/>
            <w:sz w:val="18"/>
          </w:rPr>
          <w:fldChar w:fldCharType="separate"/>
        </w:r>
        <w:r w:rsidR="00363E63" w:rsidRPr="000A5EE8">
          <w:rPr>
            <w:b w:val="0"/>
            <w:sz w:val="18"/>
          </w:rPr>
          <w:t>1</w:t>
        </w:r>
        <w:r w:rsidR="00363E63" w:rsidRPr="000A5EE8">
          <w:rPr>
            <w:b w:val="0"/>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FE0C9" w14:textId="77777777" w:rsidR="00892A1A" w:rsidRPr="002F2859" w:rsidRDefault="00892A1A" w:rsidP="00892A1A">
    <w:pPr>
      <w:pStyle w:val="GTNaslovgrafa"/>
      <w:tabs>
        <w:tab w:val="right" w:pos="9638"/>
      </w:tabs>
      <w:jc w:val="left"/>
      <w:rPr>
        <w:b w:val="0"/>
        <w:sz w:val="18"/>
        <w:szCs w:val="18"/>
      </w:rPr>
    </w:pPr>
    <w:r>
      <w:rPr>
        <w:rStyle w:val="GTBesediloZnak"/>
        <w:sz w:val="18"/>
      </w:rPr>
      <w:t>More information:</w:t>
    </w:r>
    <w:r>
      <w:rPr>
        <w:rStyle w:val="GTBesediloZnak"/>
        <w:b w:val="0"/>
        <w:sz w:val="18"/>
      </w:rPr>
      <w:t xml:space="preserve"> + 386 1 478 10 04, polona.osrajnik@gov.si</w:t>
    </w:r>
    <w:r>
      <w:rPr>
        <w:b w:val="0"/>
        <w:sz w:val="18"/>
      </w:rPr>
      <w:tab/>
      <w:t xml:space="preserve"> </w:t>
    </w:r>
    <w:sdt>
      <w:sdtPr>
        <w:rPr>
          <w:b w:val="0"/>
          <w:bCs/>
          <w:sz w:val="18"/>
          <w:szCs w:val="18"/>
        </w:rPr>
        <w:id w:val="-182358843"/>
        <w:docPartObj>
          <w:docPartGallery w:val="Page Numbers (Bottom of Page)"/>
          <w:docPartUnique/>
        </w:docPartObj>
      </w:sdtPr>
      <w:sdtEndPr/>
      <w:sdtContent>
        <w:r w:rsidRPr="002F2859">
          <w:rPr>
            <w:b w:val="0"/>
            <w:sz w:val="18"/>
          </w:rPr>
          <w:fldChar w:fldCharType="begin"/>
        </w:r>
        <w:r w:rsidRPr="002F2859">
          <w:rPr>
            <w:b w:val="0"/>
            <w:sz w:val="18"/>
          </w:rPr>
          <w:instrText>PAGE   \* MERGEFORMAT</w:instrText>
        </w:r>
        <w:r w:rsidRPr="002F2859">
          <w:rPr>
            <w:b w:val="0"/>
            <w:sz w:val="18"/>
          </w:rPr>
          <w:fldChar w:fldCharType="separate"/>
        </w:r>
        <w:r w:rsidRPr="002F2859">
          <w:rPr>
            <w:b w:val="0"/>
            <w:sz w:val="18"/>
          </w:rPr>
          <w:t>2</w:t>
        </w:r>
        <w:r w:rsidRPr="002F2859">
          <w:rPr>
            <w:b w:val="0"/>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9D7D7" w14:textId="77777777" w:rsidR="002A1EF1" w:rsidRDefault="002A1EF1" w:rsidP="0063497B">
      <w:pPr>
        <w:spacing w:line="240" w:lineRule="auto"/>
      </w:pPr>
      <w:r>
        <w:separator/>
      </w:r>
    </w:p>
  </w:footnote>
  <w:footnote w:type="continuationSeparator" w:id="0">
    <w:p w14:paraId="2FF04A8C" w14:textId="77777777" w:rsidR="002A1EF1" w:rsidRDefault="002A1EF1" w:rsidP="0063497B">
      <w:pPr>
        <w:spacing w:line="240" w:lineRule="auto"/>
      </w:pPr>
      <w:r>
        <w:continuationSeparator/>
      </w:r>
    </w:p>
  </w:footnote>
  <w:footnote w:type="continuationNotice" w:id="1">
    <w:p w14:paraId="3A9AB532" w14:textId="77777777" w:rsidR="002A1EF1" w:rsidRDefault="002A1EF1">
      <w:pPr>
        <w:spacing w:line="240" w:lineRule="auto"/>
      </w:pPr>
    </w:p>
  </w:footnote>
  <w:footnote w:id="2">
    <w:p w14:paraId="766C9AAA" w14:textId="77777777" w:rsidR="002E799E" w:rsidRPr="00E81E0B" w:rsidRDefault="002E799E" w:rsidP="002E799E">
      <w:pPr>
        <w:pStyle w:val="Sprotnaopomba-besedilo"/>
        <w:rPr>
          <w:rFonts w:eastAsia="Myriad Pro" w:cs="Myriad Pro"/>
          <w:color w:val="000000" w:themeColor="text1"/>
          <w:szCs w:val="16"/>
        </w:rPr>
      </w:pPr>
      <w:r>
        <w:rPr>
          <w:rStyle w:val="Sprotnaopomba-sklic"/>
          <w:szCs w:val="16"/>
        </w:rPr>
        <w:footnoteRef/>
      </w:r>
      <w:r>
        <w:t xml:space="preserve"> Activities R, S and T according to NACE classification</w:t>
      </w:r>
      <w:r>
        <w:rPr>
          <w:color w:val="000000" w:themeColor="text1"/>
        </w:rPr>
        <w:t xml:space="preserve">. </w:t>
      </w:r>
    </w:p>
  </w:footnote>
  <w:footnote w:id="3">
    <w:p w14:paraId="78967C1C" w14:textId="0DD501C1" w:rsidR="00F33895" w:rsidRDefault="00F33895" w:rsidP="00F33895">
      <w:pPr>
        <w:pStyle w:val="Sprotnaopomba-besedilo"/>
      </w:pPr>
      <w:r>
        <w:rPr>
          <w:rStyle w:val="Sprotnaopomba-sklic"/>
        </w:rPr>
        <w:footnoteRef/>
      </w:r>
      <w:r>
        <w:t xml:space="preserve"> Inclusion of individuals sent to work or undergo training abroad and caregivers of family members among the persons in employment at the beginning of 2024. According to SURS data, just over 6,900 persons were sent to work or undergo training abroad at the end of 2023. These persons will most likely become part of persons in paid employment as their existing insurance basis expires (as of January 2024, there were just under 4,600 posted workers remaining). The effect of changed definition is the largest in construction and among foreign nationals (see SURS </w:t>
      </w:r>
      <w:hyperlink r:id="rId1" w:history="1">
        <w:r w:rsidRPr="006947AF">
          <w:rPr>
            <w:rStyle w:val="cf01"/>
            <w:rFonts w:ascii="Myriad Pro" w:hAnsi="Myriad Pro"/>
            <w:color w:val="0000FF"/>
            <w:sz w:val="16"/>
            <w:szCs w:val="16"/>
            <w:u w:val="single"/>
          </w:rPr>
          <w:t>https://www.stat.si/StatWeb/news/Index/12740</w:t>
        </w:r>
      </w:hyperlink>
      <w:r w:rsidRPr="006947AF">
        <w:rPr>
          <w:rStyle w:val="cf01"/>
          <w:rFonts w:ascii="Myriad Pro" w:hAnsi="Myriad Pro"/>
          <w:sz w:val="16"/>
          <w:szCs w:val="16"/>
        </w:rPr>
        <w:t>)</w:t>
      </w:r>
      <w:r w:rsidR="004B7394" w:rsidRPr="006947AF">
        <w:rPr>
          <w:rStyle w:val="cf01"/>
          <w:rFonts w:ascii="Myriad Pro" w:hAnsi="Myriad Pro"/>
          <w:sz w:val="16"/>
          <w:szCs w:val="16"/>
        </w:rPr>
        <w:t>.</w:t>
      </w:r>
      <w:r w:rsidR="003C57E7" w:rsidRPr="006947AF">
        <w:rPr>
          <w:rStyle w:val="cf01"/>
          <w:rFonts w:ascii="Myriad Pro" w:hAnsi="Myriad Pro"/>
          <w:sz w:val="16"/>
          <w:szCs w:val="16"/>
        </w:rPr>
        <w:t xml:space="preserve"> </w:t>
      </w:r>
      <w:r w:rsidR="004B7394" w:rsidRPr="004B7394">
        <w:t>According to our estimate</w:t>
      </w:r>
      <w:r w:rsidR="003C57E7">
        <w:t xml:space="preserve">, </w:t>
      </w:r>
      <w:r w:rsidR="00280124">
        <w:t>they</w:t>
      </w:r>
      <w:r w:rsidR="003C57E7">
        <w:t xml:space="preserve"> account for about a half to the total year-on-year growth</w:t>
      </w:r>
      <w:r>
        <w:rPr>
          <w:rStyle w:val="cf01"/>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D7936" w14:textId="3D0FE134" w:rsidR="00FE7254" w:rsidRDefault="00652795" w:rsidP="0051021F">
    <w:pPr>
      <w:spacing w:after="600"/>
      <w:jc w:val="right"/>
    </w:pPr>
    <w:r>
      <w:rPr>
        <w:noProof/>
      </w:rPr>
      <w:drawing>
        <wp:anchor distT="0" distB="0" distL="114300" distR="114300" simplePos="0" relativeHeight="251658240" behindDoc="0" locked="0" layoutInCell="1" allowOverlap="1" wp14:anchorId="4D09C486" wp14:editId="660D8D37">
          <wp:simplePos x="0" y="0"/>
          <wp:positionH relativeFrom="column">
            <wp:posOffset>-306705</wp:posOffset>
          </wp:positionH>
          <wp:positionV relativeFrom="paragraph">
            <wp:posOffset>64135</wp:posOffset>
          </wp:positionV>
          <wp:extent cx="1155700" cy="1002030"/>
          <wp:effectExtent l="0" t="0" r="6350" b="7620"/>
          <wp:wrapTopAndBottom/>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lika 17"/>
                  <pic:cNvPicPr/>
                </pic:nvPicPr>
                <pic:blipFill>
                  <a:blip r:embed="rId1">
                    <a:extLst>
                      <a:ext uri="{28A0092B-C50C-407E-A947-70E740481C1C}">
                        <a14:useLocalDpi xmlns:a14="http://schemas.microsoft.com/office/drawing/2010/main" val="0"/>
                      </a:ext>
                    </a:extLst>
                  </a:blip>
                  <a:stretch>
                    <a:fillRect/>
                  </a:stretch>
                </pic:blipFill>
                <pic:spPr>
                  <a:xfrm>
                    <a:off x="0" y="0"/>
                    <a:ext cx="1155700" cy="1002030"/>
                  </a:xfrm>
                  <a:prstGeom prst="rect">
                    <a:avLst/>
                  </a:prstGeom>
                </pic:spPr>
              </pic:pic>
            </a:graphicData>
          </a:graphic>
          <wp14:sizeRelH relativeFrom="margin">
            <wp14:pctWidth>0</wp14:pctWidth>
          </wp14:sizeRelH>
          <wp14:sizeRelV relativeFrom="margin">
            <wp14:pctHeight>0</wp14:pctHeight>
          </wp14:sizeRelV>
        </wp:anchor>
      </w:drawing>
    </w:r>
    <w:r w:rsidR="00851EE6">
      <w:t>20 May 2024</w:t>
    </w:r>
    <w:r w:rsidR="00851EE6">
      <w:fldChar w:fldCharType="begin"/>
    </w:r>
    <w:r w:rsidR="00851EE6">
      <w:instrText xml:space="preserve"> DATE  \@ "dd MMMM yyyy"  \* MERGEFORMAT </w:instrText>
    </w:r>
    <w:r w:rsidR="00851EE6">
      <w:fldChar w:fldCharType="separate"/>
    </w:r>
    <w:r w:rsidR="00851EE6">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57342" w14:textId="77777777" w:rsidR="00892A1A" w:rsidRDefault="00892A1A" w:rsidP="00A96B65">
    <w:pPr>
      <w:pStyle w:val="Napis"/>
    </w:pPr>
    <w:r>
      <w:t>Table: Selected macroeconomic indicators for Slovenia</w:t>
    </w:r>
  </w:p>
  <w:p w14:paraId="10038B1D" w14:textId="77777777" w:rsidR="00892A1A" w:rsidRPr="00A96B65" w:rsidRDefault="00892A1A" w:rsidP="00A96B65">
    <w:pPr>
      <w:pStyle w:val="GTBesedilo"/>
      <w:rPr>
        <w:b/>
        <w:sz w:val="16"/>
        <w:szCs w:val="18"/>
      </w:rPr>
    </w:pPr>
    <w:bookmarkStart w:id="9" w:name="_Hlk166062673"/>
    <w:bookmarkStart w:id="10" w:name="_Hlk166062674"/>
    <w:r>
      <w:rPr>
        <w:sz w:val="16"/>
      </w:rPr>
      <w:t>The table format accessible to screen reader users can be found on the IMAD website among the appendices to the current charts of the week.</w:t>
    </w:r>
    <w:bookmarkEnd w:id="9"/>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54D5F"/>
    <w:multiLevelType w:val="hybridMultilevel"/>
    <w:tmpl w:val="20862290"/>
    <w:lvl w:ilvl="0" w:tplc="63DA2180">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B2C16DD"/>
    <w:multiLevelType w:val="hybridMultilevel"/>
    <w:tmpl w:val="56B4C2AA"/>
    <w:lvl w:ilvl="0" w:tplc="B0B23E72">
      <w:start w:val="1"/>
      <w:numFmt w:val="bullet"/>
      <w:lvlText w:val=""/>
      <w:lvlJc w:val="left"/>
      <w:pPr>
        <w:tabs>
          <w:tab w:val="num" w:pos="720"/>
        </w:tabs>
        <w:ind w:left="720" w:hanging="360"/>
      </w:pPr>
      <w:rPr>
        <w:rFonts w:ascii="Symbol" w:hAnsi="Symbol" w:hint="default"/>
      </w:rPr>
    </w:lvl>
    <w:lvl w:ilvl="1" w:tplc="A6BC04BE" w:tentative="1">
      <w:start w:val="1"/>
      <w:numFmt w:val="bullet"/>
      <w:lvlText w:val=""/>
      <w:lvlJc w:val="left"/>
      <w:pPr>
        <w:tabs>
          <w:tab w:val="num" w:pos="1440"/>
        </w:tabs>
        <w:ind w:left="1440" w:hanging="360"/>
      </w:pPr>
      <w:rPr>
        <w:rFonts w:ascii="Symbol" w:hAnsi="Symbol" w:hint="default"/>
      </w:rPr>
    </w:lvl>
    <w:lvl w:ilvl="2" w:tplc="3EA8379E" w:tentative="1">
      <w:start w:val="1"/>
      <w:numFmt w:val="bullet"/>
      <w:lvlText w:val=""/>
      <w:lvlJc w:val="left"/>
      <w:pPr>
        <w:tabs>
          <w:tab w:val="num" w:pos="2160"/>
        </w:tabs>
        <w:ind w:left="2160" w:hanging="360"/>
      </w:pPr>
      <w:rPr>
        <w:rFonts w:ascii="Symbol" w:hAnsi="Symbol" w:hint="default"/>
      </w:rPr>
    </w:lvl>
    <w:lvl w:ilvl="3" w:tplc="003E917A" w:tentative="1">
      <w:start w:val="1"/>
      <w:numFmt w:val="bullet"/>
      <w:lvlText w:val=""/>
      <w:lvlJc w:val="left"/>
      <w:pPr>
        <w:tabs>
          <w:tab w:val="num" w:pos="2880"/>
        </w:tabs>
        <w:ind w:left="2880" w:hanging="360"/>
      </w:pPr>
      <w:rPr>
        <w:rFonts w:ascii="Symbol" w:hAnsi="Symbol" w:hint="default"/>
      </w:rPr>
    </w:lvl>
    <w:lvl w:ilvl="4" w:tplc="7AD01B9C" w:tentative="1">
      <w:start w:val="1"/>
      <w:numFmt w:val="bullet"/>
      <w:lvlText w:val=""/>
      <w:lvlJc w:val="left"/>
      <w:pPr>
        <w:tabs>
          <w:tab w:val="num" w:pos="3600"/>
        </w:tabs>
        <w:ind w:left="3600" w:hanging="360"/>
      </w:pPr>
      <w:rPr>
        <w:rFonts w:ascii="Symbol" w:hAnsi="Symbol" w:hint="default"/>
      </w:rPr>
    </w:lvl>
    <w:lvl w:ilvl="5" w:tplc="AA26F350" w:tentative="1">
      <w:start w:val="1"/>
      <w:numFmt w:val="bullet"/>
      <w:lvlText w:val=""/>
      <w:lvlJc w:val="left"/>
      <w:pPr>
        <w:tabs>
          <w:tab w:val="num" w:pos="4320"/>
        </w:tabs>
        <w:ind w:left="4320" w:hanging="360"/>
      </w:pPr>
      <w:rPr>
        <w:rFonts w:ascii="Symbol" w:hAnsi="Symbol" w:hint="default"/>
      </w:rPr>
    </w:lvl>
    <w:lvl w:ilvl="6" w:tplc="0DE0C0C2" w:tentative="1">
      <w:start w:val="1"/>
      <w:numFmt w:val="bullet"/>
      <w:lvlText w:val=""/>
      <w:lvlJc w:val="left"/>
      <w:pPr>
        <w:tabs>
          <w:tab w:val="num" w:pos="5040"/>
        </w:tabs>
        <w:ind w:left="5040" w:hanging="360"/>
      </w:pPr>
      <w:rPr>
        <w:rFonts w:ascii="Symbol" w:hAnsi="Symbol" w:hint="default"/>
      </w:rPr>
    </w:lvl>
    <w:lvl w:ilvl="7" w:tplc="73E484B2" w:tentative="1">
      <w:start w:val="1"/>
      <w:numFmt w:val="bullet"/>
      <w:lvlText w:val=""/>
      <w:lvlJc w:val="left"/>
      <w:pPr>
        <w:tabs>
          <w:tab w:val="num" w:pos="5760"/>
        </w:tabs>
        <w:ind w:left="5760" w:hanging="360"/>
      </w:pPr>
      <w:rPr>
        <w:rFonts w:ascii="Symbol" w:hAnsi="Symbol" w:hint="default"/>
      </w:rPr>
    </w:lvl>
    <w:lvl w:ilvl="8" w:tplc="4094F1A8" w:tentative="1">
      <w:start w:val="1"/>
      <w:numFmt w:val="bullet"/>
      <w:lvlText w:val=""/>
      <w:lvlJc w:val="left"/>
      <w:pPr>
        <w:tabs>
          <w:tab w:val="num" w:pos="6480"/>
        </w:tabs>
        <w:ind w:left="6480" w:hanging="360"/>
      </w:pPr>
      <w:rPr>
        <w:rFonts w:ascii="Symbol" w:hAnsi="Symbol" w:hint="default"/>
      </w:rPr>
    </w:lvl>
  </w:abstractNum>
  <w:num w:numId="1" w16cid:durableId="261379551">
    <w:abstractNumId w:val="0"/>
  </w:num>
  <w:num w:numId="2" w16cid:durableId="2035637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70"/>
  <w:hyphenationZone w:val="425"/>
  <w:drawingGridHorizontalSpacing w:val="4933"/>
  <w:drawingGridVerticalSpacing w:val="3118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E3A"/>
    <w:rsid w:val="00000C2D"/>
    <w:rsid w:val="00001002"/>
    <w:rsid w:val="000041EB"/>
    <w:rsid w:val="0000E413"/>
    <w:rsid w:val="000109B8"/>
    <w:rsid w:val="00012EA6"/>
    <w:rsid w:val="00014C89"/>
    <w:rsid w:val="0001607B"/>
    <w:rsid w:val="000166D0"/>
    <w:rsid w:val="00020491"/>
    <w:rsid w:val="00021F16"/>
    <w:rsid w:val="00032428"/>
    <w:rsid w:val="000324FA"/>
    <w:rsid w:val="00033101"/>
    <w:rsid w:val="00033715"/>
    <w:rsid w:val="00033DC2"/>
    <w:rsid w:val="00034090"/>
    <w:rsid w:val="000364C9"/>
    <w:rsid w:val="00037408"/>
    <w:rsid w:val="000423D5"/>
    <w:rsid w:val="00042E96"/>
    <w:rsid w:val="000449AB"/>
    <w:rsid w:val="00050FFC"/>
    <w:rsid w:val="00051495"/>
    <w:rsid w:val="0005283E"/>
    <w:rsid w:val="00052D54"/>
    <w:rsid w:val="000539ED"/>
    <w:rsid w:val="00054332"/>
    <w:rsid w:val="000563C1"/>
    <w:rsid w:val="00056982"/>
    <w:rsid w:val="000642BA"/>
    <w:rsid w:val="000703C7"/>
    <w:rsid w:val="000707FA"/>
    <w:rsid w:val="00070B6E"/>
    <w:rsid w:val="00072229"/>
    <w:rsid w:val="00074242"/>
    <w:rsid w:val="00074503"/>
    <w:rsid w:val="000761C3"/>
    <w:rsid w:val="000777D4"/>
    <w:rsid w:val="00077F13"/>
    <w:rsid w:val="00082EB3"/>
    <w:rsid w:val="00083960"/>
    <w:rsid w:val="000855C3"/>
    <w:rsid w:val="000879AD"/>
    <w:rsid w:val="00091A51"/>
    <w:rsid w:val="00096D18"/>
    <w:rsid w:val="000A2F9B"/>
    <w:rsid w:val="000A33A1"/>
    <w:rsid w:val="000A430D"/>
    <w:rsid w:val="000A5A42"/>
    <w:rsid w:val="000A5EE8"/>
    <w:rsid w:val="000A7BDC"/>
    <w:rsid w:val="000B5A56"/>
    <w:rsid w:val="000C18FF"/>
    <w:rsid w:val="000C3A57"/>
    <w:rsid w:val="000C6D07"/>
    <w:rsid w:val="000D2711"/>
    <w:rsid w:val="000D5934"/>
    <w:rsid w:val="000E12FB"/>
    <w:rsid w:val="000E1628"/>
    <w:rsid w:val="000E510E"/>
    <w:rsid w:val="000F0416"/>
    <w:rsid w:val="000F101E"/>
    <w:rsid w:val="000F5FDC"/>
    <w:rsid w:val="000F66DE"/>
    <w:rsid w:val="00101A08"/>
    <w:rsid w:val="0010558D"/>
    <w:rsid w:val="00112506"/>
    <w:rsid w:val="00114AC8"/>
    <w:rsid w:val="00115E8D"/>
    <w:rsid w:val="00116D17"/>
    <w:rsid w:val="00117FD8"/>
    <w:rsid w:val="00123D52"/>
    <w:rsid w:val="0012771D"/>
    <w:rsid w:val="001328DE"/>
    <w:rsid w:val="00133E20"/>
    <w:rsid w:val="00135BEE"/>
    <w:rsid w:val="00137456"/>
    <w:rsid w:val="00140C64"/>
    <w:rsid w:val="00141E3A"/>
    <w:rsid w:val="00142BCC"/>
    <w:rsid w:val="00143576"/>
    <w:rsid w:val="001435BC"/>
    <w:rsid w:val="00143BEF"/>
    <w:rsid w:val="00152F16"/>
    <w:rsid w:val="00152F8C"/>
    <w:rsid w:val="00156C23"/>
    <w:rsid w:val="00157B17"/>
    <w:rsid w:val="001604C2"/>
    <w:rsid w:val="00160B98"/>
    <w:rsid w:val="001622FE"/>
    <w:rsid w:val="00163717"/>
    <w:rsid w:val="0016497B"/>
    <w:rsid w:val="00165314"/>
    <w:rsid w:val="0016616F"/>
    <w:rsid w:val="00166DEB"/>
    <w:rsid w:val="00170008"/>
    <w:rsid w:val="001708E5"/>
    <w:rsid w:val="00171E76"/>
    <w:rsid w:val="001729E8"/>
    <w:rsid w:val="00174D95"/>
    <w:rsid w:val="00175F92"/>
    <w:rsid w:val="00182100"/>
    <w:rsid w:val="00185A68"/>
    <w:rsid w:val="0019138D"/>
    <w:rsid w:val="00191602"/>
    <w:rsid w:val="0019349C"/>
    <w:rsid w:val="00196900"/>
    <w:rsid w:val="001A0C98"/>
    <w:rsid w:val="001A1353"/>
    <w:rsid w:val="001A432E"/>
    <w:rsid w:val="001B0B2A"/>
    <w:rsid w:val="001B25BF"/>
    <w:rsid w:val="001B3828"/>
    <w:rsid w:val="001B6AE7"/>
    <w:rsid w:val="001B70CA"/>
    <w:rsid w:val="001C2ED6"/>
    <w:rsid w:val="001C312D"/>
    <w:rsid w:val="001C3974"/>
    <w:rsid w:val="001C5A8A"/>
    <w:rsid w:val="001D0979"/>
    <w:rsid w:val="001D0CBB"/>
    <w:rsid w:val="001D6793"/>
    <w:rsid w:val="001E0292"/>
    <w:rsid w:val="001E260D"/>
    <w:rsid w:val="001E2818"/>
    <w:rsid w:val="001F0B72"/>
    <w:rsid w:val="001F0C97"/>
    <w:rsid w:val="001F0CAD"/>
    <w:rsid w:val="001F2C96"/>
    <w:rsid w:val="001F469D"/>
    <w:rsid w:val="001F51CD"/>
    <w:rsid w:val="001F6CD4"/>
    <w:rsid w:val="001F70F7"/>
    <w:rsid w:val="00200E77"/>
    <w:rsid w:val="00204769"/>
    <w:rsid w:val="00216CD4"/>
    <w:rsid w:val="00217EE4"/>
    <w:rsid w:val="002218A8"/>
    <w:rsid w:val="0022444A"/>
    <w:rsid w:val="00224856"/>
    <w:rsid w:val="00234C43"/>
    <w:rsid w:val="00236CCC"/>
    <w:rsid w:val="00242530"/>
    <w:rsid w:val="00243593"/>
    <w:rsid w:val="00250579"/>
    <w:rsid w:val="00252480"/>
    <w:rsid w:val="00253D07"/>
    <w:rsid w:val="00257ACB"/>
    <w:rsid w:val="002629EC"/>
    <w:rsid w:val="002645EA"/>
    <w:rsid w:val="0026509A"/>
    <w:rsid w:val="00270110"/>
    <w:rsid w:val="00270580"/>
    <w:rsid w:val="002750A8"/>
    <w:rsid w:val="002773D3"/>
    <w:rsid w:val="00277FEA"/>
    <w:rsid w:val="00280124"/>
    <w:rsid w:val="002803AB"/>
    <w:rsid w:val="00280CDD"/>
    <w:rsid w:val="00281567"/>
    <w:rsid w:val="00283616"/>
    <w:rsid w:val="0029158A"/>
    <w:rsid w:val="00291FE9"/>
    <w:rsid w:val="0029405F"/>
    <w:rsid w:val="0029482C"/>
    <w:rsid w:val="00294841"/>
    <w:rsid w:val="00296B66"/>
    <w:rsid w:val="002A1EF1"/>
    <w:rsid w:val="002A27A1"/>
    <w:rsid w:val="002A77D9"/>
    <w:rsid w:val="002A7F00"/>
    <w:rsid w:val="002A7F53"/>
    <w:rsid w:val="002B1031"/>
    <w:rsid w:val="002B40FA"/>
    <w:rsid w:val="002B4319"/>
    <w:rsid w:val="002B4C3A"/>
    <w:rsid w:val="002B5361"/>
    <w:rsid w:val="002B5AA1"/>
    <w:rsid w:val="002C0637"/>
    <w:rsid w:val="002C1A2B"/>
    <w:rsid w:val="002C2A51"/>
    <w:rsid w:val="002C41BC"/>
    <w:rsid w:val="002C547A"/>
    <w:rsid w:val="002C5C1A"/>
    <w:rsid w:val="002C6B9E"/>
    <w:rsid w:val="002C722C"/>
    <w:rsid w:val="002D1963"/>
    <w:rsid w:val="002D1B75"/>
    <w:rsid w:val="002D2C4F"/>
    <w:rsid w:val="002D2CEB"/>
    <w:rsid w:val="002D46EF"/>
    <w:rsid w:val="002D6D7A"/>
    <w:rsid w:val="002D7878"/>
    <w:rsid w:val="002E69B6"/>
    <w:rsid w:val="002E6FAD"/>
    <w:rsid w:val="002E724E"/>
    <w:rsid w:val="002E799E"/>
    <w:rsid w:val="002F2859"/>
    <w:rsid w:val="002F50D0"/>
    <w:rsid w:val="00300664"/>
    <w:rsid w:val="00302C3B"/>
    <w:rsid w:val="00306767"/>
    <w:rsid w:val="00310406"/>
    <w:rsid w:val="00312D09"/>
    <w:rsid w:val="003137D5"/>
    <w:rsid w:val="00322AFF"/>
    <w:rsid w:val="00330827"/>
    <w:rsid w:val="0033386D"/>
    <w:rsid w:val="00344312"/>
    <w:rsid w:val="003461A1"/>
    <w:rsid w:val="00347DEE"/>
    <w:rsid w:val="00351FC1"/>
    <w:rsid w:val="00352BF4"/>
    <w:rsid w:val="0035398A"/>
    <w:rsid w:val="00354AD8"/>
    <w:rsid w:val="00363E63"/>
    <w:rsid w:val="00365613"/>
    <w:rsid w:val="00367285"/>
    <w:rsid w:val="00367A4C"/>
    <w:rsid w:val="00367BE5"/>
    <w:rsid w:val="0036EFBC"/>
    <w:rsid w:val="00371A79"/>
    <w:rsid w:val="003750F9"/>
    <w:rsid w:val="003807AB"/>
    <w:rsid w:val="00382DB0"/>
    <w:rsid w:val="003859A6"/>
    <w:rsid w:val="003940C9"/>
    <w:rsid w:val="003959EB"/>
    <w:rsid w:val="00397CE1"/>
    <w:rsid w:val="003A0343"/>
    <w:rsid w:val="003A49D8"/>
    <w:rsid w:val="003A601E"/>
    <w:rsid w:val="003B004D"/>
    <w:rsid w:val="003B0481"/>
    <w:rsid w:val="003B2498"/>
    <w:rsid w:val="003B5368"/>
    <w:rsid w:val="003B6FAD"/>
    <w:rsid w:val="003C1D67"/>
    <w:rsid w:val="003C3B36"/>
    <w:rsid w:val="003C57E7"/>
    <w:rsid w:val="003C614E"/>
    <w:rsid w:val="003C649D"/>
    <w:rsid w:val="003C757C"/>
    <w:rsid w:val="003D1FB5"/>
    <w:rsid w:val="003D3E4A"/>
    <w:rsid w:val="003D437C"/>
    <w:rsid w:val="003D5489"/>
    <w:rsid w:val="003E0EF5"/>
    <w:rsid w:val="003E15C5"/>
    <w:rsid w:val="003E56A6"/>
    <w:rsid w:val="003E5CFB"/>
    <w:rsid w:val="003E673F"/>
    <w:rsid w:val="003F3598"/>
    <w:rsid w:val="003F6C85"/>
    <w:rsid w:val="003F75E3"/>
    <w:rsid w:val="00401CB6"/>
    <w:rsid w:val="00404E7D"/>
    <w:rsid w:val="0040630F"/>
    <w:rsid w:val="0040719E"/>
    <w:rsid w:val="00412E6F"/>
    <w:rsid w:val="00415DC9"/>
    <w:rsid w:val="00420304"/>
    <w:rsid w:val="00424EF9"/>
    <w:rsid w:val="00426567"/>
    <w:rsid w:val="00430630"/>
    <w:rsid w:val="00431EDD"/>
    <w:rsid w:val="0043293F"/>
    <w:rsid w:val="004330C7"/>
    <w:rsid w:val="00433A16"/>
    <w:rsid w:val="00433B73"/>
    <w:rsid w:val="004368FB"/>
    <w:rsid w:val="00436E4C"/>
    <w:rsid w:val="00440F65"/>
    <w:rsid w:val="00441024"/>
    <w:rsid w:val="00441FFB"/>
    <w:rsid w:val="00445586"/>
    <w:rsid w:val="0044759A"/>
    <w:rsid w:val="00452589"/>
    <w:rsid w:val="00452804"/>
    <w:rsid w:val="00455A3C"/>
    <w:rsid w:val="004611D8"/>
    <w:rsid w:val="00464D01"/>
    <w:rsid w:val="004709C9"/>
    <w:rsid w:val="00474349"/>
    <w:rsid w:val="0047467B"/>
    <w:rsid w:val="00474E39"/>
    <w:rsid w:val="00477274"/>
    <w:rsid w:val="00482FAC"/>
    <w:rsid w:val="00494CB5"/>
    <w:rsid w:val="004970E5"/>
    <w:rsid w:val="004971CB"/>
    <w:rsid w:val="004A40D6"/>
    <w:rsid w:val="004A4123"/>
    <w:rsid w:val="004A6C87"/>
    <w:rsid w:val="004A71E2"/>
    <w:rsid w:val="004B139B"/>
    <w:rsid w:val="004B4481"/>
    <w:rsid w:val="004B61EF"/>
    <w:rsid w:val="004B6F6E"/>
    <w:rsid w:val="004B7394"/>
    <w:rsid w:val="004C0FFF"/>
    <w:rsid w:val="004C2C4A"/>
    <w:rsid w:val="004C5FAB"/>
    <w:rsid w:val="004D1789"/>
    <w:rsid w:val="004D1DAD"/>
    <w:rsid w:val="004D1EEC"/>
    <w:rsid w:val="004D3080"/>
    <w:rsid w:val="004D6836"/>
    <w:rsid w:val="004E1821"/>
    <w:rsid w:val="004E1A0D"/>
    <w:rsid w:val="004E21BE"/>
    <w:rsid w:val="004E32DC"/>
    <w:rsid w:val="004E5471"/>
    <w:rsid w:val="004E6619"/>
    <w:rsid w:val="004E6BB8"/>
    <w:rsid w:val="004F06EA"/>
    <w:rsid w:val="004F338B"/>
    <w:rsid w:val="004F6E44"/>
    <w:rsid w:val="00503FBC"/>
    <w:rsid w:val="00504749"/>
    <w:rsid w:val="00507175"/>
    <w:rsid w:val="0051021F"/>
    <w:rsid w:val="00511DDC"/>
    <w:rsid w:val="005131CB"/>
    <w:rsid w:val="00525B43"/>
    <w:rsid w:val="0052607D"/>
    <w:rsid w:val="00527B54"/>
    <w:rsid w:val="00527B9C"/>
    <w:rsid w:val="00534457"/>
    <w:rsid w:val="00534604"/>
    <w:rsid w:val="00546DBF"/>
    <w:rsid w:val="0055119C"/>
    <w:rsid w:val="0055411C"/>
    <w:rsid w:val="005545AB"/>
    <w:rsid w:val="00561C9A"/>
    <w:rsid w:val="00563E10"/>
    <w:rsid w:val="0056491E"/>
    <w:rsid w:val="00571A5A"/>
    <w:rsid w:val="00572055"/>
    <w:rsid w:val="0057723B"/>
    <w:rsid w:val="005775C3"/>
    <w:rsid w:val="00582CF7"/>
    <w:rsid w:val="0059584B"/>
    <w:rsid w:val="005959C2"/>
    <w:rsid w:val="005A1C73"/>
    <w:rsid w:val="005A3014"/>
    <w:rsid w:val="005A373E"/>
    <w:rsid w:val="005A38D1"/>
    <w:rsid w:val="005B146D"/>
    <w:rsid w:val="005B2450"/>
    <w:rsid w:val="005B3261"/>
    <w:rsid w:val="005B5D0B"/>
    <w:rsid w:val="005B5DA1"/>
    <w:rsid w:val="005B64DC"/>
    <w:rsid w:val="005C1332"/>
    <w:rsid w:val="005C532D"/>
    <w:rsid w:val="005C6DEC"/>
    <w:rsid w:val="005C7273"/>
    <w:rsid w:val="005D189C"/>
    <w:rsid w:val="005D4F7A"/>
    <w:rsid w:val="005D52F4"/>
    <w:rsid w:val="005D70F5"/>
    <w:rsid w:val="005E3477"/>
    <w:rsid w:val="005E5D4D"/>
    <w:rsid w:val="005E7AEF"/>
    <w:rsid w:val="005F0C48"/>
    <w:rsid w:val="005F3464"/>
    <w:rsid w:val="00603973"/>
    <w:rsid w:val="00603996"/>
    <w:rsid w:val="00611E3C"/>
    <w:rsid w:val="00612BED"/>
    <w:rsid w:val="00613808"/>
    <w:rsid w:val="00614461"/>
    <w:rsid w:val="00615582"/>
    <w:rsid w:val="00617621"/>
    <w:rsid w:val="0062118C"/>
    <w:rsid w:val="00622767"/>
    <w:rsid w:val="00624292"/>
    <w:rsid w:val="006260C0"/>
    <w:rsid w:val="0062681C"/>
    <w:rsid w:val="006269CE"/>
    <w:rsid w:val="006275A2"/>
    <w:rsid w:val="00627B4F"/>
    <w:rsid w:val="00632BB1"/>
    <w:rsid w:val="00633176"/>
    <w:rsid w:val="0063497B"/>
    <w:rsid w:val="00634F9F"/>
    <w:rsid w:val="00636BD3"/>
    <w:rsid w:val="00637C3F"/>
    <w:rsid w:val="00641145"/>
    <w:rsid w:val="00641643"/>
    <w:rsid w:val="006423C9"/>
    <w:rsid w:val="00643646"/>
    <w:rsid w:val="00644641"/>
    <w:rsid w:val="0065066D"/>
    <w:rsid w:val="00650921"/>
    <w:rsid w:val="00652795"/>
    <w:rsid w:val="0065284A"/>
    <w:rsid w:val="00654021"/>
    <w:rsid w:val="0065424E"/>
    <w:rsid w:val="00655699"/>
    <w:rsid w:val="0066025C"/>
    <w:rsid w:val="0066063E"/>
    <w:rsid w:val="00663B7B"/>
    <w:rsid w:val="00670575"/>
    <w:rsid w:val="00671853"/>
    <w:rsid w:val="00674B6B"/>
    <w:rsid w:val="00684177"/>
    <w:rsid w:val="006845E5"/>
    <w:rsid w:val="00685ED3"/>
    <w:rsid w:val="006866A9"/>
    <w:rsid w:val="006875F1"/>
    <w:rsid w:val="00691110"/>
    <w:rsid w:val="006947AF"/>
    <w:rsid w:val="00694AE1"/>
    <w:rsid w:val="00696372"/>
    <w:rsid w:val="006965FC"/>
    <w:rsid w:val="00697061"/>
    <w:rsid w:val="00697BDB"/>
    <w:rsid w:val="006A047A"/>
    <w:rsid w:val="006A1853"/>
    <w:rsid w:val="006A6820"/>
    <w:rsid w:val="006A762D"/>
    <w:rsid w:val="006C2117"/>
    <w:rsid w:val="006D1F65"/>
    <w:rsid w:val="006D581A"/>
    <w:rsid w:val="006D758E"/>
    <w:rsid w:val="006D7C7A"/>
    <w:rsid w:val="006E15C3"/>
    <w:rsid w:val="006E1BCE"/>
    <w:rsid w:val="006E1C81"/>
    <w:rsid w:val="006E3192"/>
    <w:rsid w:val="006E3603"/>
    <w:rsid w:val="006E4338"/>
    <w:rsid w:val="006E4796"/>
    <w:rsid w:val="006E55EC"/>
    <w:rsid w:val="006E7513"/>
    <w:rsid w:val="006F291A"/>
    <w:rsid w:val="006F2AAA"/>
    <w:rsid w:val="006F2FB5"/>
    <w:rsid w:val="006F4295"/>
    <w:rsid w:val="006F50BE"/>
    <w:rsid w:val="006F6F8B"/>
    <w:rsid w:val="00700B7D"/>
    <w:rsid w:val="007016EF"/>
    <w:rsid w:val="00704F43"/>
    <w:rsid w:val="007056E2"/>
    <w:rsid w:val="00710785"/>
    <w:rsid w:val="00717EDB"/>
    <w:rsid w:val="00731B6F"/>
    <w:rsid w:val="00732B0B"/>
    <w:rsid w:val="00733242"/>
    <w:rsid w:val="00734692"/>
    <w:rsid w:val="00734CDD"/>
    <w:rsid w:val="00736E54"/>
    <w:rsid w:val="00740A5B"/>
    <w:rsid w:val="0074197F"/>
    <w:rsid w:val="007428C3"/>
    <w:rsid w:val="0074452D"/>
    <w:rsid w:val="0074465C"/>
    <w:rsid w:val="0074466E"/>
    <w:rsid w:val="00744C30"/>
    <w:rsid w:val="007505D5"/>
    <w:rsid w:val="00752241"/>
    <w:rsid w:val="00753E82"/>
    <w:rsid w:val="00755DA1"/>
    <w:rsid w:val="00767EA5"/>
    <w:rsid w:val="00773916"/>
    <w:rsid w:val="00776AD7"/>
    <w:rsid w:val="00777EFE"/>
    <w:rsid w:val="007812A1"/>
    <w:rsid w:val="0079410F"/>
    <w:rsid w:val="00796874"/>
    <w:rsid w:val="007A0B59"/>
    <w:rsid w:val="007A0D40"/>
    <w:rsid w:val="007A459B"/>
    <w:rsid w:val="007B050F"/>
    <w:rsid w:val="007B5C79"/>
    <w:rsid w:val="007B670E"/>
    <w:rsid w:val="007B6A21"/>
    <w:rsid w:val="007B7110"/>
    <w:rsid w:val="007B7A48"/>
    <w:rsid w:val="007C11DA"/>
    <w:rsid w:val="007C1731"/>
    <w:rsid w:val="007C34FF"/>
    <w:rsid w:val="007C5A42"/>
    <w:rsid w:val="007D0087"/>
    <w:rsid w:val="007D0791"/>
    <w:rsid w:val="007D204B"/>
    <w:rsid w:val="007D71F4"/>
    <w:rsid w:val="007E2ACF"/>
    <w:rsid w:val="007F1307"/>
    <w:rsid w:val="007F335E"/>
    <w:rsid w:val="007F5D01"/>
    <w:rsid w:val="007F63FA"/>
    <w:rsid w:val="007F71A8"/>
    <w:rsid w:val="00803010"/>
    <w:rsid w:val="008039C9"/>
    <w:rsid w:val="008072D3"/>
    <w:rsid w:val="0081171D"/>
    <w:rsid w:val="00811B32"/>
    <w:rsid w:val="008121A1"/>
    <w:rsid w:val="00812D81"/>
    <w:rsid w:val="008148E3"/>
    <w:rsid w:val="00815902"/>
    <w:rsid w:val="00820294"/>
    <w:rsid w:val="00820395"/>
    <w:rsid w:val="008220D2"/>
    <w:rsid w:val="00823650"/>
    <w:rsid w:val="008236EB"/>
    <w:rsid w:val="0082396C"/>
    <w:rsid w:val="00830A56"/>
    <w:rsid w:val="0083214E"/>
    <w:rsid w:val="00834152"/>
    <w:rsid w:val="00835CC6"/>
    <w:rsid w:val="00836A76"/>
    <w:rsid w:val="00842754"/>
    <w:rsid w:val="00845BCB"/>
    <w:rsid w:val="00851EE6"/>
    <w:rsid w:val="00852D33"/>
    <w:rsid w:val="008569D3"/>
    <w:rsid w:val="00857198"/>
    <w:rsid w:val="008578C7"/>
    <w:rsid w:val="00860582"/>
    <w:rsid w:val="00861FBD"/>
    <w:rsid w:val="00871180"/>
    <w:rsid w:val="00872319"/>
    <w:rsid w:val="00872C75"/>
    <w:rsid w:val="008734D3"/>
    <w:rsid w:val="0087639A"/>
    <w:rsid w:val="00882236"/>
    <w:rsid w:val="008856FF"/>
    <w:rsid w:val="0088638C"/>
    <w:rsid w:val="0088673C"/>
    <w:rsid w:val="00887D7E"/>
    <w:rsid w:val="008907F6"/>
    <w:rsid w:val="0089259B"/>
    <w:rsid w:val="00892A1A"/>
    <w:rsid w:val="008A66F0"/>
    <w:rsid w:val="008B0E08"/>
    <w:rsid w:val="008B38F0"/>
    <w:rsid w:val="008B5253"/>
    <w:rsid w:val="008B7720"/>
    <w:rsid w:val="008C3CB0"/>
    <w:rsid w:val="008D3B86"/>
    <w:rsid w:val="008D6607"/>
    <w:rsid w:val="008D7A8C"/>
    <w:rsid w:val="008E369F"/>
    <w:rsid w:val="008F342B"/>
    <w:rsid w:val="008F3619"/>
    <w:rsid w:val="008F5E3C"/>
    <w:rsid w:val="008F6D4C"/>
    <w:rsid w:val="008F74DB"/>
    <w:rsid w:val="008F7643"/>
    <w:rsid w:val="009007DD"/>
    <w:rsid w:val="00910265"/>
    <w:rsid w:val="0091780B"/>
    <w:rsid w:val="00923491"/>
    <w:rsid w:val="00923A3C"/>
    <w:rsid w:val="00927F90"/>
    <w:rsid w:val="00933A23"/>
    <w:rsid w:val="0093604B"/>
    <w:rsid w:val="00944B07"/>
    <w:rsid w:val="00944D7A"/>
    <w:rsid w:val="00946691"/>
    <w:rsid w:val="00946C4C"/>
    <w:rsid w:val="00951A54"/>
    <w:rsid w:val="00952995"/>
    <w:rsid w:val="00957A76"/>
    <w:rsid w:val="00960E11"/>
    <w:rsid w:val="0096503F"/>
    <w:rsid w:val="009650FA"/>
    <w:rsid w:val="00965F15"/>
    <w:rsid w:val="00967140"/>
    <w:rsid w:val="00970D7B"/>
    <w:rsid w:val="0098112E"/>
    <w:rsid w:val="00983FCA"/>
    <w:rsid w:val="009851A1"/>
    <w:rsid w:val="0098559E"/>
    <w:rsid w:val="009863C9"/>
    <w:rsid w:val="009918B9"/>
    <w:rsid w:val="009944D4"/>
    <w:rsid w:val="009A1E12"/>
    <w:rsid w:val="009A1F71"/>
    <w:rsid w:val="009A2752"/>
    <w:rsid w:val="009A27EE"/>
    <w:rsid w:val="009A49C5"/>
    <w:rsid w:val="009A4E65"/>
    <w:rsid w:val="009A6C46"/>
    <w:rsid w:val="009A6C8E"/>
    <w:rsid w:val="009B1F57"/>
    <w:rsid w:val="009B535E"/>
    <w:rsid w:val="009C09E8"/>
    <w:rsid w:val="009C13D3"/>
    <w:rsid w:val="009C2560"/>
    <w:rsid w:val="009C3397"/>
    <w:rsid w:val="009C4D53"/>
    <w:rsid w:val="009C5125"/>
    <w:rsid w:val="009C5309"/>
    <w:rsid w:val="009D23E3"/>
    <w:rsid w:val="009D311B"/>
    <w:rsid w:val="009D421F"/>
    <w:rsid w:val="009D4439"/>
    <w:rsid w:val="009D60F9"/>
    <w:rsid w:val="009E3EF0"/>
    <w:rsid w:val="009E63EA"/>
    <w:rsid w:val="009F0017"/>
    <w:rsid w:val="009F0B6C"/>
    <w:rsid w:val="009F113F"/>
    <w:rsid w:val="009F3074"/>
    <w:rsid w:val="009F4D45"/>
    <w:rsid w:val="009F4D58"/>
    <w:rsid w:val="00A00289"/>
    <w:rsid w:val="00A02C60"/>
    <w:rsid w:val="00A072AA"/>
    <w:rsid w:val="00A107AD"/>
    <w:rsid w:val="00A128B0"/>
    <w:rsid w:val="00A13730"/>
    <w:rsid w:val="00A13F78"/>
    <w:rsid w:val="00A17472"/>
    <w:rsid w:val="00A17EDA"/>
    <w:rsid w:val="00A22F7A"/>
    <w:rsid w:val="00A27242"/>
    <w:rsid w:val="00A273EA"/>
    <w:rsid w:val="00A2783E"/>
    <w:rsid w:val="00A279FF"/>
    <w:rsid w:val="00A31627"/>
    <w:rsid w:val="00A340FC"/>
    <w:rsid w:val="00A35FCE"/>
    <w:rsid w:val="00A37509"/>
    <w:rsid w:val="00A4181B"/>
    <w:rsid w:val="00A42839"/>
    <w:rsid w:val="00A428F5"/>
    <w:rsid w:val="00A45287"/>
    <w:rsid w:val="00A45B47"/>
    <w:rsid w:val="00A528F6"/>
    <w:rsid w:val="00A5634F"/>
    <w:rsid w:val="00A57F4D"/>
    <w:rsid w:val="00A65A70"/>
    <w:rsid w:val="00A66CD3"/>
    <w:rsid w:val="00A7050D"/>
    <w:rsid w:val="00A7092C"/>
    <w:rsid w:val="00A70C15"/>
    <w:rsid w:val="00A71D2F"/>
    <w:rsid w:val="00A74F51"/>
    <w:rsid w:val="00A7599F"/>
    <w:rsid w:val="00A82278"/>
    <w:rsid w:val="00A825D8"/>
    <w:rsid w:val="00A8327F"/>
    <w:rsid w:val="00A8329F"/>
    <w:rsid w:val="00A84438"/>
    <w:rsid w:val="00A86E54"/>
    <w:rsid w:val="00A93963"/>
    <w:rsid w:val="00A96B65"/>
    <w:rsid w:val="00AA1760"/>
    <w:rsid w:val="00AA1F25"/>
    <w:rsid w:val="00AA303E"/>
    <w:rsid w:val="00AA524C"/>
    <w:rsid w:val="00AA5B1C"/>
    <w:rsid w:val="00AB0C65"/>
    <w:rsid w:val="00AB180C"/>
    <w:rsid w:val="00AB1D9F"/>
    <w:rsid w:val="00AB1E7C"/>
    <w:rsid w:val="00AB2ED5"/>
    <w:rsid w:val="00AB6F82"/>
    <w:rsid w:val="00AC3014"/>
    <w:rsid w:val="00AC328B"/>
    <w:rsid w:val="00AC3ABB"/>
    <w:rsid w:val="00AD1116"/>
    <w:rsid w:val="00AD5CD6"/>
    <w:rsid w:val="00AE0563"/>
    <w:rsid w:val="00AE1241"/>
    <w:rsid w:val="00AE1F5A"/>
    <w:rsid w:val="00AE28CB"/>
    <w:rsid w:val="00AE71DF"/>
    <w:rsid w:val="00AF3058"/>
    <w:rsid w:val="00AF4B73"/>
    <w:rsid w:val="00B00A6A"/>
    <w:rsid w:val="00B00E5E"/>
    <w:rsid w:val="00B0323D"/>
    <w:rsid w:val="00B06883"/>
    <w:rsid w:val="00B06944"/>
    <w:rsid w:val="00B11BC5"/>
    <w:rsid w:val="00B11D81"/>
    <w:rsid w:val="00B1348E"/>
    <w:rsid w:val="00B220A3"/>
    <w:rsid w:val="00B22B2A"/>
    <w:rsid w:val="00B31E7B"/>
    <w:rsid w:val="00B32AC8"/>
    <w:rsid w:val="00B330E5"/>
    <w:rsid w:val="00B33E73"/>
    <w:rsid w:val="00B3561C"/>
    <w:rsid w:val="00B418A6"/>
    <w:rsid w:val="00B451B6"/>
    <w:rsid w:val="00B5062D"/>
    <w:rsid w:val="00B50968"/>
    <w:rsid w:val="00B52F7E"/>
    <w:rsid w:val="00B53658"/>
    <w:rsid w:val="00B548E5"/>
    <w:rsid w:val="00B620E0"/>
    <w:rsid w:val="00B649E6"/>
    <w:rsid w:val="00B67A47"/>
    <w:rsid w:val="00B67A67"/>
    <w:rsid w:val="00B7051C"/>
    <w:rsid w:val="00B72AFF"/>
    <w:rsid w:val="00B736E5"/>
    <w:rsid w:val="00B738F6"/>
    <w:rsid w:val="00B77320"/>
    <w:rsid w:val="00B777BE"/>
    <w:rsid w:val="00B8300F"/>
    <w:rsid w:val="00B8395A"/>
    <w:rsid w:val="00B83D32"/>
    <w:rsid w:val="00BA22BA"/>
    <w:rsid w:val="00BA763C"/>
    <w:rsid w:val="00BB0026"/>
    <w:rsid w:val="00BB047C"/>
    <w:rsid w:val="00BB1D92"/>
    <w:rsid w:val="00BB3859"/>
    <w:rsid w:val="00BB462D"/>
    <w:rsid w:val="00BB52FE"/>
    <w:rsid w:val="00BB6DF6"/>
    <w:rsid w:val="00BC0ABC"/>
    <w:rsid w:val="00BC1FF7"/>
    <w:rsid w:val="00BC7EC0"/>
    <w:rsid w:val="00BD02C0"/>
    <w:rsid w:val="00BD0DE7"/>
    <w:rsid w:val="00BD29AC"/>
    <w:rsid w:val="00BD2DE1"/>
    <w:rsid w:val="00BD4DD2"/>
    <w:rsid w:val="00BD5436"/>
    <w:rsid w:val="00BE0A12"/>
    <w:rsid w:val="00BE24FA"/>
    <w:rsid w:val="00BE4CE6"/>
    <w:rsid w:val="00BF2574"/>
    <w:rsid w:val="00BF3E16"/>
    <w:rsid w:val="00BF60A2"/>
    <w:rsid w:val="00BF7C4E"/>
    <w:rsid w:val="00BF7C96"/>
    <w:rsid w:val="00C02078"/>
    <w:rsid w:val="00C02C03"/>
    <w:rsid w:val="00C03386"/>
    <w:rsid w:val="00C040D5"/>
    <w:rsid w:val="00C04263"/>
    <w:rsid w:val="00C05DBF"/>
    <w:rsid w:val="00C13F80"/>
    <w:rsid w:val="00C1568C"/>
    <w:rsid w:val="00C15DD1"/>
    <w:rsid w:val="00C20B79"/>
    <w:rsid w:val="00C22B32"/>
    <w:rsid w:val="00C2409D"/>
    <w:rsid w:val="00C25E44"/>
    <w:rsid w:val="00C269AA"/>
    <w:rsid w:val="00C276EF"/>
    <w:rsid w:val="00C30A2C"/>
    <w:rsid w:val="00C30BAE"/>
    <w:rsid w:val="00C311BB"/>
    <w:rsid w:val="00C312F2"/>
    <w:rsid w:val="00C32895"/>
    <w:rsid w:val="00C41610"/>
    <w:rsid w:val="00C44659"/>
    <w:rsid w:val="00C44B09"/>
    <w:rsid w:val="00C451B4"/>
    <w:rsid w:val="00C471D8"/>
    <w:rsid w:val="00C47417"/>
    <w:rsid w:val="00C514BE"/>
    <w:rsid w:val="00C552DB"/>
    <w:rsid w:val="00C55B19"/>
    <w:rsid w:val="00C61ABE"/>
    <w:rsid w:val="00C62764"/>
    <w:rsid w:val="00C63A86"/>
    <w:rsid w:val="00C72505"/>
    <w:rsid w:val="00C76457"/>
    <w:rsid w:val="00C80811"/>
    <w:rsid w:val="00C838AF"/>
    <w:rsid w:val="00C84549"/>
    <w:rsid w:val="00C862B2"/>
    <w:rsid w:val="00C86DE7"/>
    <w:rsid w:val="00C90F63"/>
    <w:rsid w:val="00C973A1"/>
    <w:rsid w:val="00CA00A9"/>
    <w:rsid w:val="00CA1484"/>
    <w:rsid w:val="00CA2FBE"/>
    <w:rsid w:val="00CA4878"/>
    <w:rsid w:val="00CA758A"/>
    <w:rsid w:val="00CB2B11"/>
    <w:rsid w:val="00CB3FEF"/>
    <w:rsid w:val="00CC1E65"/>
    <w:rsid w:val="00CC3B10"/>
    <w:rsid w:val="00CC4418"/>
    <w:rsid w:val="00CC485E"/>
    <w:rsid w:val="00CC634C"/>
    <w:rsid w:val="00CC7A4E"/>
    <w:rsid w:val="00CD0482"/>
    <w:rsid w:val="00CD1376"/>
    <w:rsid w:val="00CD1BF3"/>
    <w:rsid w:val="00CD43C7"/>
    <w:rsid w:val="00CD47E2"/>
    <w:rsid w:val="00CD5F38"/>
    <w:rsid w:val="00CD62F0"/>
    <w:rsid w:val="00CD707A"/>
    <w:rsid w:val="00CE2068"/>
    <w:rsid w:val="00CE6118"/>
    <w:rsid w:val="00CE6472"/>
    <w:rsid w:val="00CF067A"/>
    <w:rsid w:val="00CF5896"/>
    <w:rsid w:val="00CF6407"/>
    <w:rsid w:val="00D0115A"/>
    <w:rsid w:val="00D03FCF"/>
    <w:rsid w:val="00D111E2"/>
    <w:rsid w:val="00D202BE"/>
    <w:rsid w:val="00D202C1"/>
    <w:rsid w:val="00D24863"/>
    <w:rsid w:val="00D25924"/>
    <w:rsid w:val="00D27B07"/>
    <w:rsid w:val="00D31095"/>
    <w:rsid w:val="00D312B6"/>
    <w:rsid w:val="00D31BB2"/>
    <w:rsid w:val="00D325C4"/>
    <w:rsid w:val="00D32E2D"/>
    <w:rsid w:val="00D33D8C"/>
    <w:rsid w:val="00D34244"/>
    <w:rsid w:val="00D352E3"/>
    <w:rsid w:val="00D36FD8"/>
    <w:rsid w:val="00D400F2"/>
    <w:rsid w:val="00D4070B"/>
    <w:rsid w:val="00D40787"/>
    <w:rsid w:val="00D427A2"/>
    <w:rsid w:val="00D43E0F"/>
    <w:rsid w:val="00D474DB"/>
    <w:rsid w:val="00D47807"/>
    <w:rsid w:val="00D5165A"/>
    <w:rsid w:val="00D524CC"/>
    <w:rsid w:val="00D53406"/>
    <w:rsid w:val="00D53464"/>
    <w:rsid w:val="00D55EFF"/>
    <w:rsid w:val="00D60282"/>
    <w:rsid w:val="00D60AF9"/>
    <w:rsid w:val="00D63D13"/>
    <w:rsid w:val="00D64479"/>
    <w:rsid w:val="00D70B83"/>
    <w:rsid w:val="00D725A9"/>
    <w:rsid w:val="00D7583C"/>
    <w:rsid w:val="00D769B9"/>
    <w:rsid w:val="00D774F8"/>
    <w:rsid w:val="00D779C2"/>
    <w:rsid w:val="00D85CF9"/>
    <w:rsid w:val="00D868D5"/>
    <w:rsid w:val="00D9184C"/>
    <w:rsid w:val="00DA3D8E"/>
    <w:rsid w:val="00DA7181"/>
    <w:rsid w:val="00DB1042"/>
    <w:rsid w:val="00DB1C32"/>
    <w:rsid w:val="00DB550F"/>
    <w:rsid w:val="00DB75A0"/>
    <w:rsid w:val="00DC2098"/>
    <w:rsid w:val="00DC325F"/>
    <w:rsid w:val="00DC6692"/>
    <w:rsid w:val="00DC7921"/>
    <w:rsid w:val="00DD05CD"/>
    <w:rsid w:val="00DD1A9D"/>
    <w:rsid w:val="00DD556D"/>
    <w:rsid w:val="00DD5ED4"/>
    <w:rsid w:val="00DD5F8B"/>
    <w:rsid w:val="00DD7935"/>
    <w:rsid w:val="00DE0592"/>
    <w:rsid w:val="00DE2EA9"/>
    <w:rsid w:val="00DE3232"/>
    <w:rsid w:val="00DE3602"/>
    <w:rsid w:val="00DE4ACB"/>
    <w:rsid w:val="00DE72F6"/>
    <w:rsid w:val="00DF216C"/>
    <w:rsid w:val="00DF2630"/>
    <w:rsid w:val="00DF31A3"/>
    <w:rsid w:val="00DF3707"/>
    <w:rsid w:val="00DF4372"/>
    <w:rsid w:val="00DF4F0B"/>
    <w:rsid w:val="00DF5040"/>
    <w:rsid w:val="00DF6603"/>
    <w:rsid w:val="00DF6AB2"/>
    <w:rsid w:val="00E02749"/>
    <w:rsid w:val="00E06431"/>
    <w:rsid w:val="00E12EBC"/>
    <w:rsid w:val="00E2180A"/>
    <w:rsid w:val="00E241C2"/>
    <w:rsid w:val="00E26861"/>
    <w:rsid w:val="00E27B64"/>
    <w:rsid w:val="00E3312F"/>
    <w:rsid w:val="00E33C32"/>
    <w:rsid w:val="00E351B9"/>
    <w:rsid w:val="00E35966"/>
    <w:rsid w:val="00E427FD"/>
    <w:rsid w:val="00E43558"/>
    <w:rsid w:val="00E45A57"/>
    <w:rsid w:val="00E47999"/>
    <w:rsid w:val="00E55041"/>
    <w:rsid w:val="00E56CE8"/>
    <w:rsid w:val="00E57A48"/>
    <w:rsid w:val="00E57CD7"/>
    <w:rsid w:val="00E63391"/>
    <w:rsid w:val="00E6603E"/>
    <w:rsid w:val="00E721FB"/>
    <w:rsid w:val="00E735AF"/>
    <w:rsid w:val="00E74A76"/>
    <w:rsid w:val="00E767A4"/>
    <w:rsid w:val="00E7791D"/>
    <w:rsid w:val="00E817B2"/>
    <w:rsid w:val="00E81C22"/>
    <w:rsid w:val="00E83937"/>
    <w:rsid w:val="00E87F9A"/>
    <w:rsid w:val="00E911E5"/>
    <w:rsid w:val="00E96754"/>
    <w:rsid w:val="00EA30E1"/>
    <w:rsid w:val="00EA638F"/>
    <w:rsid w:val="00EB498D"/>
    <w:rsid w:val="00EB6149"/>
    <w:rsid w:val="00EB75B8"/>
    <w:rsid w:val="00EB797A"/>
    <w:rsid w:val="00EC0CA0"/>
    <w:rsid w:val="00EC5E41"/>
    <w:rsid w:val="00EC77F6"/>
    <w:rsid w:val="00ED08D1"/>
    <w:rsid w:val="00ED19DE"/>
    <w:rsid w:val="00ED3158"/>
    <w:rsid w:val="00ED3B7E"/>
    <w:rsid w:val="00EE7E6E"/>
    <w:rsid w:val="00EF0A63"/>
    <w:rsid w:val="00EF354A"/>
    <w:rsid w:val="00EF4947"/>
    <w:rsid w:val="00EF599B"/>
    <w:rsid w:val="00F00632"/>
    <w:rsid w:val="00F028BF"/>
    <w:rsid w:val="00F028FE"/>
    <w:rsid w:val="00F04FAC"/>
    <w:rsid w:val="00F050D9"/>
    <w:rsid w:val="00F14FF8"/>
    <w:rsid w:val="00F16E57"/>
    <w:rsid w:val="00F23C34"/>
    <w:rsid w:val="00F33895"/>
    <w:rsid w:val="00F34B0A"/>
    <w:rsid w:val="00F409C1"/>
    <w:rsid w:val="00F41E1A"/>
    <w:rsid w:val="00F43AAF"/>
    <w:rsid w:val="00F43F6C"/>
    <w:rsid w:val="00F45D91"/>
    <w:rsid w:val="00F46332"/>
    <w:rsid w:val="00F469D4"/>
    <w:rsid w:val="00F46B5D"/>
    <w:rsid w:val="00F47B15"/>
    <w:rsid w:val="00F50730"/>
    <w:rsid w:val="00F507FA"/>
    <w:rsid w:val="00F51584"/>
    <w:rsid w:val="00F545EF"/>
    <w:rsid w:val="00F61296"/>
    <w:rsid w:val="00F65156"/>
    <w:rsid w:val="00F66E1B"/>
    <w:rsid w:val="00F71911"/>
    <w:rsid w:val="00F72211"/>
    <w:rsid w:val="00F74031"/>
    <w:rsid w:val="00F76FE1"/>
    <w:rsid w:val="00F77460"/>
    <w:rsid w:val="00F8017B"/>
    <w:rsid w:val="00F82A3A"/>
    <w:rsid w:val="00F84E40"/>
    <w:rsid w:val="00F91FF0"/>
    <w:rsid w:val="00F930F6"/>
    <w:rsid w:val="00F936AD"/>
    <w:rsid w:val="00F9415B"/>
    <w:rsid w:val="00F97016"/>
    <w:rsid w:val="00FA2D1F"/>
    <w:rsid w:val="00FA2DA1"/>
    <w:rsid w:val="00FA425F"/>
    <w:rsid w:val="00FA45E3"/>
    <w:rsid w:val="00FA525D"/>
    <w:rsid w:val="00FB2AB3"/>
    <w:rsid w:val="00FB3B84"/>
    <w:rsid w:val="00FB5533"/>
    <w:rsid w:val="00FB6D36"/>
    <w:rsid w:val="00FB7465"/>
    <w:rsid w:val="00FC01E5"/>
    <w:rsid w:val="00FC08DA"/>
    <w:rsid w:val="00FC3955"/>
    <w:rsid w:val="00FC492F"/>
    <w:rsid w:val="00FD2CBD"/>
    <w:rsid w:val="00FD3DD2"/>
    <w:rsid w:val="00FD41F4"/>
    <w:rsid w:val="00FD5E89"/>
    <w:rsid w:val="00FD7376"/>
    <w:rsid w:val="00FE05AD"/>
    <w:rsid w:val="00FE0E6D"/>
    <w:rsid w:val="00FE12B1"/>
    <w:rsid w:val="00FE295C"/>
    <w:rsid w:val="00FE3B44"/>
    <w:rsid w:val="00FE3B53"/>
    <w:rsid w:val="00FE59BB"/>
    <w:rsid w:val="00FE6081"/>
    <w:rsid w:val="00FE7254"/>
    <w:rsid w:val="00FE73F7"/>
    <w:rsid w:val="00FF0936"/>
    <w:rsid w:val="00FF1654"/>
    <w:rsid w:val="00FF1AD6"/>
    <w:rsid w:val="00FF3363"/>
    <w:rsid w:val="00FF38E7"/>
    <w:rsid w:val="02CAE220"/>
    <w:rsid w:val="031F89D5"/>
    <w:rsid w:val="03C5B53F"/>
    <w:rsid w:val="05A31C6D"/>
    <w:rsid w:val="064E2556"/>
    <w:rsid w:val="08F6889F"/>
    <w:rsid w:val="0A1258DC"/>
    <w:rsid w:val="0A775FF4"/>
    <w:rsid w:val="0A8613B5"/>
    <w:rsid w:val="0C68C8AB"/>
    <w:rsid w:val="0C7BAEA7"/>
    <w:rsid w:val="0EE02FC1"/>
    <w:rsid w:val="0F02BDF8"/>
    <w:rsid w:val="0F87A5B7"/>
    <w:rsid w:val="11381F41"/>
    <w:rsid w:val="122648D3"/>
    <w:rsid w:val="122B5FC3"/>
    <w:rsid w:val="12C716E4"/>
    <w:rsid w:val="12DCE33F"/>
    <w:rsid w:val="14BE92FB"/>
    <w:rsid w:val="1638F5B9"/>
    <w:rsid w:val="1765C725"/>
    <w:rsid w:val="17ED4A18"/>
    <w:rsid w:val="19C69132"/>
    <w:rsid w:val="1BCFBC40"/>
    <w:rsid w:val="1C6A6F19"/>
    <w:rsid w:val="1D7741F4"/>
    <w:rsid w:val="1DDA426A"/>
    <w:rsid w:val="1E0A240F"/>
    <w:rsid w:val="1E940E6D"/>
    <w:rsid w:val="1F59CFAC"/>
    <w:rsid w:val="1FB002BD"/>
    <w:rsid w:val="2091781D"/>
    <w:rsid w:val="215F97AA"/>
    <w:rsid w:val="220911B5"/>
    <w:rsid w:val="24F8411B"/>
    <w:rsid w:val="258B536D"/>
    <w:rsid w:val="258FE900"/>
    <w:rsid w:val="26457407"/>
    <w:rsid w:val="272AE1B5"/>
    <w:rsid w:val="276B4D83"/>
    <w:rsid w:val="2B4D1698"/>
    <w:rsid w:val="2B65ECAA"/>
    <w:rsid w:val="2D384E61"/>
    <w:rsid w:val="2DB3117F"/>
    <w:rsid w:val="30382EDD"/>
    <w:rsid w:val="30E8C149"/>
    <w:rsid w:val="327CBB63"/>
    <w:rsid w:val="33AFC3C8"/>
    <w:rsid w:val="33D5525C"/>
    <w:rsid w:val="361CEC86"/>
    <w:rsid w:val="37742DBF"/>
    <w:rsid w:val="380FD0D3"/>
    <w:rsid w:val="39D59B97"/>
    <w:rsid w:val="3A8E3E11"/>
    <w:rsid w:val="3E2C7989"/>
    <w:rsid w:val="41A1A99B"/>
    <w:rsid w:val="437E06DE"/>
    <w:rsid w:val="43BB5207"/>
    <w:rsid w:val="446428B6"/>
    <w:rsid w:val="4464D985"/>
    <w:rsid w:val="44E40E44"/>
    <w:rsid w:val="457F0E35"/>
    <w:rsid w:val="45C11232"/>
    <w:rsid w:val="47C55EB8"/>
    <w:rsid w:val="497D4197"/>
    <w:rsid w:val="4D4CDDD5"/>
    <w:rsid w:val="4D9E1ED5"/>
    <w:rsid w:val="4E074871"/>
    <w:rsid w:val="4F41F08F"/>
    <w:rsid w:val="53D16648"/>
    <w:rsid w:val="54F81C82"/>
    <w:rsid w:val="57370B20"/>
    <w:rsid w:val="57D4F902"/>
    <w:rsid w:val="57DAE584"/>
    <w:rsid w:val="5A3FDD3F"/>
    <w:rsid w:val="5D84FBF0"/>
    <w:rsid w:val="600A8C3F"/>
    <w:rsid w:val="601F9880"/>
    <w:rsid w:val="6429000B"/>
    <w:rsid w:val="65360759"/>
    <w:rsid w:val="653F5D12"/>
    <w:rsid w:val="6653E37D"/>
    <w:rsid w:val="67B1AA45"/>
    <w:rsid w:val="6B41A57E"/>
    <w:rsid w:val="6BEDA7EE"/>
    <w:rsid w:val="6C0F88E6"/>
    <w:rsid w:val="6CD74169"/>
    <w:rsid w:val="6D9E4EAC"/>
    <w:rsid w:val="6EA6D0A2"/>
    <w:rsid w:val="6F36E5AF"/>
    <w:rsid w:val="6FBCF7C6"/>
    <w:rsid w:val="72C92374"/>
    <w:rsid w:val="743FA575"/>
    <w:rsid w:val="75527C10"/>
    <w:rsid w:val="7840E886"/>
    <w:rsid w:val="786A4A74"/>
    <w:rsid w:val="78A25BAF"/>
    <w:rsid w:val="7B781AE0"/>
    <w:rsid w:val="7CFC676D"/>
    <w:rsid w:val="7E3B952B"/>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02809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710785"/>
    <w:pPr>
      <w:spacing w:after="0" w:line="250" w:lineRule="atLeast"/>
      <w:jc w:val="both"/>
    </w:pPr>
    <w:rPr>
      <w:rFonts w:ascii="Myriad Pro" w:hAnsi="Myriad Pro"/>
      <w:sz w:val="20"/>
    </w:rPr>
  </w:style>
  <w:style w:type="paragraph" w:styleId="Naslov1">
    <w:name w:val="heading 1"/>
    <w:basedOn w:val="Navaden"/>
    <w:next w:val="Navaden"/>
    <w:link w:val="Naslov1Znak"/>
    <w:uiPriority w:val="9"/>
    <w:rsid w:val="0040630F"/>
    <w:pPr>
      <w:keepNext/>
      <w:keepLines/>
      <w:spacing w:before="240"/>
      <w:outlineLvl w:val="0"/>
    </w:pPr>
    <w:rPr>
      <w:rFonts w:asciiTheme="majorHAnsi" w:eastAsiaTheme="majorEastAsia" w:hAnsiTheme="majorHAnsi" w:cstheme="majorBidi"/>
      <w:color w:val="760013" w:themeColor="accent1" w:themeShade="BF"/>
      <w:sz w:val="32"/>
      <w:szCs w:val="32"/>
    </w:rPr>
  </w:style>
  <w:style w:type="paragraph" w:styleId="Naslov2">
    <w:name w:val="heading 2"/>
    <w:basedOn w:val="Navaden"/>
    <w:next w:val="Navaden"/>
    <w:link w:val="Naslov2Znak"/>
    <w:uiPriority w:val="9"/>
    <w:semiHidden/>
    <w:unhideWhenUsed/>
    <w:rsid w:val="0040630F"/>
    <w:pPr>
      <w:keepNext/>
      <w:keepLines/>
      <w:spacing w:before="40"/>
      <w:outlineLvl w:val="1"/>
    </w:pPr>
    <w:rPr>
      <w:rFonts w:asciiTheme="majorHAnsi" w:eastAsiaTheme="majorEastAsia" w:hAnsiTheme="majorHAnsi" w:cstheme="majorBidi"/>
      <w:color w:val="760013"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pis">
    <w:name w:val="caption"/>
    <w:aliases w:val="Caption_GT_Naslov grafa"/>
    <w:basedOn w:val="GTBesedilo"/>
    <w:next w:val="Navaden"/>
    <w:unhideWhenUsed/>
    <w:qFormat/>
    <w:rsid w:val="008E369F"/>
    <w:pPr>
      <w:spacing w:line="240" w:lineRule="auto"/>
    </w:pPr>
    <w:rPr>
      <w:b/>
      <w:iCs/>
      <w:szCs w:val="18"/>
    </w:rPr>
  </w:style>
  <w:style w:type="paragraph" w:styleId="Kazaloslik">
    <w:name w:val="table of figures"/>
    <w:basedOn w:val="Navaden"/>
    <w:next w:val="Navaden"/>
    <w:uiPriority w:val="99"/>
    <w:unhideWhenUsed/>
    <w:rsid w:val="008E369F"/>
  </w:style>
  <w:style w:type="character" w:customStyle="1" w:styleId="Naslov1Znak">
    <w:name w:val="Naslov 1 Znak"/>
    <w:basedOn w:val="Privzetapisavaodstavka"/>
    <w:link w:val="Naslov1"/>
    <w:uiPriority w:val="9"/>
    <w:rsid w:val="0040630F"/>
    <w:rPr>
      <w:rFonts w:asciiTheme="majorHAnsi" w:eastAsiaTheme="majorEastAsia" w:hAnsiTheme="majorHAnsi" w:cstheme="majorBidi"/>
      <w:color w:val="760013" w:themeColor="accent1" w:themeShade="BF"/>
      <w:sz w:val="32"/>
      <w:szCs w:val="32"/>
    </w:rPr>
  </w:style>
  <w:style w:type="paragraph" w:customStyle="1" w:styleId="Naslov11">
    <w:name w:val="Naslov 11"/>
    <w:basedOn w:val="Navaden"/>
    <w:link w:val="Naslov1Char"/>
    <w:rsid w:val="00812D81"/>
    <w:pPr>
      <w:spacing w:line="360" w:lineRule="exact"/>
    </w:pPr>
    <w:rPr>
      <w:b/>
      <w:sz w:val="32"/>
      <w:szCs w:val="36"/>
    </w:rPr>
  </w:style>
  <w:style w:type="paragraph" w:customStyle="1" w:styleId="GTNaslov1">
    <w:name w:val="GT_Naslov 1"/>
    <w:basedOn w:val="Naslov1"/>
    <w:link w:val="GTNaslov1Znak"/>
    <w:qFormat/>
    <w:rsid w:val="0040630F"/>
    <w:pPr>
      <w:spacing w:before="0" w:line="240" w:lineRule="auto"/>
    </w:pPr>
    <w:rPr>
      <w:rFonts w:ascii="Myriad Pro" w:hAnsi="Myriad Pro"/>
      <w:b/>
      <w:color w:val="auto"/>
      <w:szCs w:val="36"/>
    </w:rPr>
  </w:style>
  <w:style w:type="character" w:customStyle="1" w:styleId="Naslov1Char">
    <w:name w:val="Naslov 1 Char"/>
    <w:basedOn w:val="Privzetapisavaodstavka"/>
    <w:link w:val="Naslov11"/>
    <w:rsid w:val="00812D81"/>
    <w:rPr>
      <w:rFonts w:ascii="Myriad Pro" w:hAnsi="Myriad Pro"/>
      <w:b/>
      <w:sz w:val="32"/>
      <w:szCs w:val="36"/>
    </w:rPr>
  </w:style>
  <w:style w:type="paragraph" w:customStyle="1" w:styleId="GTNaslovgrafa">
    <w:name w:val="GT_Naslov grafa"/>
    <w:basedOn w:val="Naslov2"/>
    <w:link w:val="GTNaslovgrafaZnak"/>
    <w:rsid w:val="0040630F"/>
    <w:pPr>
      <w:spacing w:before="0" w:line="240" w:lineRule="auto"/>
    </w:pPr>
    <w:rPr>
      <w:rFonts w:ascii="Myriad Pro" w:hAnsi="Myriad Pro"/>
      <w:b/>
      <w:color w:val="auto"/>
      <w:sz w:val="20"/>
    </w:rPr>
  </w:style>
  <w:style w:type="character" w:customStyle="1" w:styleId="GTNaslov1Znak">
    <w:name w:val="GT_Naslov 1 Znak"/>
    <w:basedOn w:val="Privzetapisavaodstavka"/>
    <w:link w:val="GTNaslov1"/>
    <w:rsid w:val="0040630F"/>
    <w:rPr>
      <w:rFonts w:ascii="Myriad Pro" w:eastAsiaTheme="majorEastAsia" w:hAnsi="Myriad Pro" w:cstheme="majorBidi"/>
      <w:b/>
      <w:sz w:val="32"/>
      <w:szCs w:val="36"/>
    </w:rPr>
  </w:style>
  <w:style w:type="character" w:customStyle="1" w:styleId="GTNaslovgrafaZnak">
    <w:name w:val="GT_Naslov grafa Znak"/>
    <w:basedOn w:val="Privzetapisavaodstavka"/>
    <w:link w:val="GTNaslovgrafa"/>
    <w:rsid w:val="0040630F"/>
    <w:rPr>
      <w:rFonts w:ascii="Myriad Pro" w:eastAsiaTheme="majorEastAsia" w:hAnsi="Myriad Pro" w:cstheme="majorBidi"/>
      <w:b/>
      <w:sz w:val="20"/>
      <w:szCs w:val="26"/>
    </w:rPr>
  </w:style>
  <w:style w:type="paragraph" w:styleId="Besedilooblaka">
    <w:name w:val="Balloon Text"/>
    <w:basedOn w:val="Navaden"/>
    <w:link w:val="BesedilooblakaZnak"/>
    <w:uiPriority w:val="99"/>
    <w:semiHidden/>
    <w:unhideWhenUsed/>
    <w:rsid w:val="00E0274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02749"/>
    <w:rPr>
      <w:rFonts w:ascii="Segoe UI" w:hAnsi="Segoe UI" w:cs="Segoe UI"/>
      <w:sz w:val="18"/>
      <w:szCs w:val="18"/>
    </w:rPr>
  </w:style>
  <w:style w:type="paragraph" w:customStyle="1" w:styleId="Uvod">
    <w:name w:val="Uvod"/>
    <w:basedOn w:val="GTNaslovgrafa"/>
    <w:link w:val="UvodChar"/>
    <w:rsid w:val="00E02749"/>
    <w:pPr>
      <w:spacing w:after="160"/>
    </w:pPr>
  </w:style>
  <w:style w:type="character" w:customStyle="1" w:styleId="UvodChar">
    <w:name w:val="Uvod Char"/>
    <w:basedOn w:val="GTNaslovgrafaZnak"/>
    <w:link w:val="Uvod"/>
    <w:rsid w:val="00E02749"/>
    <w:rPr>
      <w:rFonts w:ascii="Myriad Pro" w:eastAsiaTheme="majorEastAsia" w:hAnsi="Myriad Pro" w:cstheme="majorBidi"/>
      <w:b/>
      <w:sz w:val="21"/>
      <w:szCs w:val="26"/>
    </w:rPr>
  </w:style>
  <w:style w:type="table" w:styleId="Tabelamrea">
    <w:name w:val="Table Grid"/>
    <w:basedOn w:val="Navadnatabela"/>
    <w:uiPriority w:val="39"/>
    <w:rsid w:val="006E1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363E63"/>
    <w:rPr>
      <w:color w:val="0563C1" w:themeColor="hyperlink"/>
      <w:u w:val="single"/>
    </w:rPr>
  </w:style>
  <w:style w:type="paragraph" w:styleId="Sprotnaopomba-besedilo">
    <w:name w:val="footnote text"/>
    <w:aliases w:val="Sprotna opomba_EO, Char Char,Char Char,Sprotna opomba-besedilo,Char Char Char Char,Sprotna opomba - besedilo Znak1,Sprotna opomba - besedilo Znak Znak2,Sprotna opomba - besedilo Znak1 Znak Znak1,fn,Char Ch,o"/>
    <w:basedOn w:val="Navaden"/>
    <w:link w:val="Sprotnaopomba-besediloZnak"/>
    <w:uiPriority w:val="99"/>
    <w:unhideWhenUsed/>
    <w:qFormat/>
    <w:rsid w:val="00FE7254"/>
    <w:pPr>
      <w:spacing w:line="240" w:lineRule="auto"/>
    </w:pPr>
    <w:rPr>
      <w:sz w:val="16"/>
      <w:szCs w:val="20"/>
    </w:rPr>
  </w:style>
  <w:style w:type="character" w:customStyle="1" w:styleId="Sprotnaopomba-besediloZnak">
    <w:name w:val="Sprotna opomba - besedilo Znak"/>
    <w:aliases w:val="Sprotna opomba_EO Znak, Char Char Znak,Char Char Znak,Sprotna opomba-besedilo Znak,Char Char Char Char Znak,Sprotna opomba - besedilo Znak1 Znak,Sprotna opomba - besedilo Znak Znak2 Znak,fn Znak,Char Ch Znak,o Znak"/>
    <w:basedOn w:val="Privzetapisavaodstavka"/>
    <w:link w:val="Sprotnaopomba-besedilo"/>
    <w:uiPriority w:val="99"/>
    <w:rsid w:val="00FE7254"/>
    <w:rPr>
      <w:rFonts w:ascii="Myriad Pro" w:hAnsi="Myriad Pro"/>
      <w:sz w:val="16"/>
      <w:szCs w:val="20"/>
    </w:rPr>
  </w:style>
  <w:style w:type="character" w:styleId="Sprotnaopomba-sklic">
    <w:name w:val="footnote reference"/>
    <w:aliases w:val="footnote_EO,Footnote symbol,Fussnota,Footnote,Footnote reference number,note TESI,SUPERS,EN Footnote Reference,-E Fußnotenzeichen,Times 10 Point,Exposant 3 Point,E...,nota de rodapé,Footnote Reference_LVL6,Footnote Reference_LVL61"/>
    <w:basedOn w:val="Privzetapisavaodstavka"/>
    <w:uiPriority w:val="99"/>
    <w:unhideWhenUsed/>
    <w:qFormat/>
    <w:rsid w:val="00FE7254"/>
    <w:rPr>
      <w:vertAlign w:val="superscript"/>
    </w:rPr>
  </w:style>
  <w:style w:type="character" w:styleId="Nerazreenaomemba">
    <w:name w:val="Unresolved Mention"/>
    <w:basedOn w:val="Privzetapisavaodstavka"/>
    <w:uiPriority w:val="99"/>
    <w:semiHidden/>
    <w:unhideWhenUsed/>
    <w:rsid w:val="003A49D8"/>
    <w:rPr>
      <w:color w:val="605E5C"/>
      <w:shd w:val="clear" w:color="auto" w:fill="E1DFDD"/>
    </w:rPr>
  </w:style>
  <w:style w:type="paragraph" w:customStyle="1" w:styleId="GTBesedilo">
    <w:name w:val="GT_Besedilo"/>
    <w:basedOn w:val="Navaden"/>
    <w:link w:val="GTBesediloZnak"/>
    <w:qFormat/>
    <w:rsid w:val="0040630F"/>
  </w:style>
  <w:style w:type="character" w:customStyle="1" w:styleId="GTBesediloZnak">
    <w:name w:val="GT_Besedilo Znak"/>
    <w:basedOn w:val="Privzetapisavaodstavka"/>
    <w:link w:val="GTBesedilo"/>
    <w:rsid w:val="0040630F"/>
    <w:rPr>
      <w:rFonts w:ascii="Myriad Pro" w:hAnsi="Myriad Pro"/>
      <w:sz w:val="20"/>
    </w:rPr>
  </w:style>
  <w:style w:type="character" w:customStyle="1" w:styleId="Naslov2Znak">
    <w:name w:val="Naslov 2 Znak"/>
    <w:basedOn w:val="Privzetapisavaodstavka"/>
    <w:link w:val="Naslov2"/>
    <w:uiPriority w:val="9"/>
    <w:semiHidden/>
    <w:rsid w:val="0040630F"/>
    <w:rPr>
      <w:rFonts w:asciiTheme="majorHAnsi" w:eastAsiaTheme="majorEastAsia" w:hAnsiTheme="majorHAnsi" w:cstheme="majorBidi"/>
      <w:color w:val="760013" w:themeColor="accent1" w:themeShade="BF"/>
      <w:sz w:val="26"/>
      <w:szCs w:val="26"/>
    </w:rPr>
  </w:style>
  <w:style w:type="paragraph" w:styleId="Glava">
    <w:name w:val="header"/>
    <w:basedOn w:val="Navaden"/>
    <w:link w:val="GlavaZnak"/>
    <w:uiPriority w:val="99"/>
    <w:unhideWhenUsed/>
    <w:rsid w:val="009C4D53"/>
    <w:pPr>
      <w:tabs>
        <w:tab w:val="center" w:pos="4536"/>
        <w:tab w:val="right" w:pos="9072"/>
      </w:tabs>
      <w:spacing w:line="240" w:lineRule="auto"/>
    </w:pPr>
  </w:style>
  <w:style w:type="character" w:customStyle="1" w:styleId="GlavaZnak">
    <w:name w:val="Glava Znak"/>
    <w:basedOn w:val="Privzetapisavaodstavka"/>
    <w:link w:val="Glava"/>
    <w:uiPriority w:val="99"/>
    <w:rsid w:val="009C4D53"/>
    <w:rPr>
      <w:rFonts w:ascii="Myriad Pro" w:hAnsi="Myriad Pro"/>
      <w:sz w:val="20"/>
    </w:rPr>
  </w:style>
  <w:style w:type="paragraph" w:styleId="Noga">
    <w:name w:val="footer"/>
    <w:basedOn w:val="Navaden"/>
    <w:link w:val="NogaZnak"/>
    <w:uiPriority w:val="99"/>
    <w:unhideWhenUsed/>
    <w:rsid w:val="009C4D53"/>
    <w:pPr>
      <w:tabs>
        <w:tab w:val="center" w:pos="4536"/>
        <w:tab w:val="right" w:pos="9072"/>
      </w:tabs>
      <w:spacing w:line="240" w:lineRule="auto"/>
    </w:pPr>
  </w:style>
  <w:style w:type="character" w:customStyle="1" w:styleId="NogaZnak">
    <w:name w:val="Noga Znak"/>
    <w:basedOn w:val="Privzetapisavaodstavka"/>
    <w:link w:val="Noga"/>
    <w:uiPriority w:val="99"/>
    <w:rsid w:val="009C4D53"/>
    <w:rPr>
      <w:rFonts w:ascii="Myriad Pro" w:hAnsi="Myriad Pro"/>
      <w:sz w:val="20"/>
    </w:rPr>
  </w:style>
  <w:style w:type="character" w:styleId="Pripombasklic">
    <w:name w:val="annotation reference"/>
    <w:basedOn w:val="Privzetapisavaodstavka"/>
    <w:uiPriority w:val="99"/>
    <w:semiHidden/>
    <w:unhideWhenUsed/>
    <w:rsid w:val="00236CCC"/>
    <w:rPr>
      <w:sz w:val="16"/>
      <w:szCs w:val="16"/>
    </w:rPr>
  </w:style>
  <w:style w:type="paragraph" w:styleId="Pripombabesedilo">
    <w:name w:val="annotation text"/>
    <w:basedOn w:val="Navaden"/>
    <w:link w:val="PripombabesediloZnak"/>
    <w:uiPriority w:val="99"/>
    <w:unhideWhenUsed/>
    <w:rsid w:val="00236CCC"/>
    <w:pPr>
      <w:spacing w:line="240" w:lineRule="auto"/>
    </w:pPr>
    <w:rPr>
      <w:szCs w:val="20"/>
    </w:rPr>
  </w:style>
  <w:style w:type="character" w:customStyle="1" w:styleId="PripombabesediloZnak">
    <w:name w:val="Pripomba – besedilo Znak"/>
    <w:basedOn w:val="Privzetapisavaodstavka"/>
    <w:link w:val="Pripombabesedilo"/>
    <w:uiPriority w:val="99"/>
    <w:rsid w:val="00236CCC"/>
    <w:rPr>
      <w:rFonts w:ascii="Myriad Pro" w:hAnsi="Myriad Pro"/>
      <w:sz w:val="20"/>
      <w:szCs w:val="20"/>
    </w:rPr>
  </w:style>
  <w:style w:type="paragraph" w:styleId="Zadevapripombe">
    <w:name w:val="annotation subject"/>
    <w:basedOn w:val="Pripombabesedilo"/>
    <w:next w:val="Pripombabesedilo"/>
    <w:link w:val="ZadevapripombeZnak"/>
    <w:uiPriority w:val="99"/>
    <w:semiHidden/>
    <w:unhideWhenUsed/>
    <w:rsid w:val="00236CCC"/>
    <w:rPr>
      <w:b/>
      <w:bCs/>
    </w:rPr>
  </w:style>
  <w:style w:type="character" w:customStyle="1" w:styleId="ZadevapripombeZnak">
    <w:name w:val="Zadeva pripombe Znak"/>
    <w:basedOn w:val="PripombabesediloZnak"/>
    <w:link w:val="Zadevapripombe"/>
    <w:uiPriority w:val="99"/>
    <w:semiHidden/>
    <w:rsid w:val="00236CCC"/>
    <w:rPr>
      <w:rFonts w:ascii="Myriad Pro" w:hAnsi="Myriad Pro"/>
      <w:b/>
      <w:bCs/>
      <w:sz w:val="20"/>
      <w:szCs w:val="20"/>
    </w:rPr>
  </w:style>
  <w:style w:type="paragraph" w:styleId="Revizija">
    <w:name w:val="Revision"/>
    <w:hidden/>
    <w:uiPriority w:val="99"/>
    <w:semiHidden/>
    <w:rsid w:val="007812A1"/>
    <w:pPr>
      <w:spacing w:after="0" w:line="240" w:lineRule="auto"/>
    </w:pPr>
    <w:rPr>
      <w:rFonts w:ascii="Myriad Pro" w:hAnsi="Myriad Pro"/>
      <w:sz w:val="20"/>
    </w:rPr>
  </w:style>
  <w:style w:type="character" w:styleId="Krepko">
    <w:name w:val="Strong"/>
    <w:basedOn w:val="Privzetapisavaodstavka"/>
    <w:uiPriority w:val="22"/>
    <w:qFormat/>
    <w:rsid w:val="003F75E3"/>
    <w:rPr>
      <w:b/>
      <w:bCs/>
    </w:rPr>
  </w:style>
  <w:style w:type="character" w:styleId="Omemba">
    <w:name w:val="Mention"/>
    <w:basedOn w:val="Privzetapisavaodstavka"/>
    <w:uiPriority w:val="99"/>
    <w:unhideWhenUsed/>
    <w:rsid w:val="00E55041"/>
    <w:rPr>
      <w:color w:val="2B579A"/>
      <w:shd w:val="clear" w:color="auto" w:fill="E1DFDD"/>
    </w:rPr>
  </w:style>
  <w:style w:type="character" w:customStyle="1" w:styleId="cf01">
    <w:name w:val="cf01"/>
    <w:basedOn w:val="Privzetapisavaodstavka"/>
    <w:rsid w:val="006F291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stat.si/StatWeb/news/Index/127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UMAR tema_word">
  <a:themeElements>
    <a:clrScheme name="UMAR barve">
      <a:dk1>
        <a:sysClr val="windowText" lastClr="000000"/>
      </a:dk1>
      <a:lt1>
        <a:sysClr val="window" lastClr="FFFFFF"/>
      </a:lt1>
      <a:dk2>
        <a:srgbClr val="44546A"/>
      </a:dk2>
      <a:lt2>
        <a:srgbClr val="DBDBDB"/>
      </a:lt2>
      <a:accent1>
        <a:srgbClr val="9E001A"/>
      </a:accent1>
      <a:accent2>
        <a:srgbClr val="D99694"/>
      </a:accent2>
      <a:accent3>
        <a:srgbClr val="A6A6A6"/>
      </a:accent3>
      <a:accent4>
        <a:srgbClr val="54A4A3"/>
      </a:accent4>
      <a:accent5>
        <a:srgbClr val="BBD2B0"/>
      </a:accent5>
      <a:accent6>
        <a:srgbClr val="6F3B66"/>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40BA8-4A26-4B37-ADB0-9877055A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1027</Words>
  <Characters>5856</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6870</CharactersWithSpaces>
  <SharedDoc>false</SharedDoc>
  <HLinks>
    <vt:vector size="6" baseType="variant">
      <vt:variant>
        <vt:i4>720902</vt:i4>
      </vt:variant>
      <vt:variant>
        <vt:i4>0</vt:i4>
      </vt:variant>
      <vt:variant>
        <vt:i4>0</vt:i4>
      </vt:variant>
      <vt:variant>
        <vt:i4>5</vt:i4>
      </vt:variant>
      <vt:variant>
        <vt:lpwstr>https://www.stat.si/StatWeb/news/Index/12740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2024-05-20T12:05:00Z</dcterms:created>
  <dcterms:modified xsi:type="dcterms:W3CDTF">2024-05-20T12:05:00Z</dcterms:modified>
</cp:coreProperties>
</file>